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2DD1A" w14:textId="17402684" w:rsidR="00CD4596" w:rsidRDefault="00874E40">
      <w:pPr>
        <w:spacing w:after="0" w:line="240" w:lineRule="auto"/>
        <w:jc w:val="center"/>
      </w:pPr>
      <w:r>
        <w:rPr>
          <w:noProof/>
        </w:rPr>
        <w:drawing>
          <wp:anchor distT="0" distB="0" distL="114300" distR="114300" simplePos="0" relativeHeight="251660288" behindDoc="1" locked="0" layoutInCell="1" allowOverlap="1" wp14:anchorId="6A8E432D" wp14:editId="05A34CE7">
            <wp:simplePos x="0" y="0"/>
            <wp:positionH relativeFrom="page">
              <wp:posOffset>8626</wp:posOffset>
            </wp:positionH>
            <wp:positionV relativeFrom="paragraph">
              <wp:posOffset>-162189</wp:posOffset>
            </wp:positionV>
            <wp:extent cx="7539728" cy="10655673"/>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7539728" cy="10655673"/>
                    </a:xfrm>
                    <a:prstGeom prst="rect">
                      <a:avLst/>
                    </a:prstGeom>
                  </pic:spPr>
                </pic:pic>
              </a:graphicData>
            </a:graphic>
            <wp14:sizeRelH relativeFrom="margin">
              <wp14:pctWidth>0</wp14:pctWidth>
            </wp14:sizeRelH>
            <wp14:sizeRelV relativeFrom="margin">
              <wp14:pctHeight>0</wp14:pctHeight>
            </wp14:sizeRelV>
          </wp:anchor>
        </w:drawing>
      </w:r>
    </w:p>
    <w:p w14:paraId="0FE89E4F" w14:textId="098F10D3" w:rsidR="00CD4596" w:rsidRDefault="00CD4596"/>
    <w:p w14:paraId="6E9904E9" w14:textId="7406CE23" w:rsidR="00DF4E63" w:rsidRDefault="00DF4E63">
      <w:pPr>
        <w:sectPr w:rsidR="00DF4E63" w:rsidSect="00E957C1">
          <w:headerReference w:type="default" r:id="rId9"/>
          <w:footerReference w:type="default" r:id="rId10"/>
          <w:pgSz w:w="11906" w:h="16838" w:code="9"/>
          <w:pgMar w:top="0" w:right="0" w:bottom="0" w:left="0" w:header="0" w:footer="0" w:gutter="0"/>
          <w:cols w:space="720"/>
          <w:docGrid w:linePitch="360"/>
        </w:sectPr>
      </w:pPr>
    </w:p>
    <w:p w14:paraId="31925A03" w14:textId="508530D0" w:rsidR="00874E40" w:rsidRDefault="00874E40">
      <w:pPr>
        <w:spacing w:after="200" w:line="276" w:lineRule="auto"/>
        <w:rPr>
          <w:b/>
          <w:color w:val="075A2C"/>
          <w:sz w:val="44"/>
        </w:rPr>
      </w:pPr>
      <w:r w:rsidRPr="004062B6">
        <w:rPr>
          <w:rFonts w:ascii="Grandview" w:hAnsi="Grandview"/>
          <w:noProof/>
        </w:rPr>
        <w:lastRenderedPageBreak/>
        <w:drawing>
          <wp:anchor distT="0" distB="0" distL="114300" distR="114300" simplePos="0" relativeHeight="251659264" behindDoc="1" locked="0" layoutInCell="1" allowOverlap="1" wp14:anchorId="52B48872" wp14:editId="467C4BB0">
            <wp:simplePos x="0" y="0"/>
            <wp:positionH relativeFrom="page">
              <wp:align>left</wp:align>
            </wp:positionH>
            <wp:positionV relativeFrom="paragraph">
              <wp:posOffset>-719105</wp:posOffset>
            </wp:positionV>
            <wp:extent cx="7900670" cy="11165840"/>
            <wp:effectExtent l="0" t="0" r="5080" b="0"/>
            <wp:wrapNone/>
            <wp:docPr id="862874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87468" name="Picture 86287468"/>
                    <pic:cNvPicPr/>
                  </pic:nvPicPr>
                  <pic:blipFill>
                    <a:blip r:embed="rId11">
                      <a:extLst>
                        <a:ext uri="{28A0092B-C50C-407E-A947-70E740481C1C}">
                          <a14:useLocalDpi xmlns:a14="http://schemas.microsoft.com/office/drawing/2010/main" val="0"/>
                        </a:ext>
                      </a:extLst>
                    </a:blip>
                    <a:stretch>
                      <a:fillRect/>
                    </a:stretch>
                  </pic:blipFill>
                  <pic:spPr>
                    <a:xfrm>
                      <a:off x="0" y="0"/>
                      <a:ext cx="7900670" cy="11165840"/>
                    </a:xfrm>
                    <a:prstGeom prst="rect">
                      <a:avLst/>
                    </a:prstGeom>
                  </pic:spPr>
                </pic:pic>
              </a:graphicData>
            </a:graphic>
            <wp14:sizeRelH relativeFrom="page">
              <wp14:pctWidth>0</wp14:pctWidth>
            </wp14:sizeRelH>
            <wp14:sizeRelV relativeFrom="page">
              <wp14:pctHeight>0</wp14:pctHeight>
            </wp14:sizeRelV>
          </wp:anchor>
        </w:drawing>
      </w:r>
      <w:r>
        <w:rPr>
          <w:b/>
          <w:color w:val="075A2C"/>
          <w:sz w:val="44"/>
        </w:rPr>
        <w:br w:type="page"/>
      </w:r>
    </w:p>
    <w:p w14:paraId="216D1FAE" w14:textId="297393A3" w:rsidR="00874E40" w:rsidRDefault="00874E40">
      <w:pPr>
        <w:pBdr>
          <w:bottom w:val="single" w:sz="12" w:space="8" w:color="075A2C"/>
        </w:pBdr>
        <w:spacing w:before="200" w:after="120"/>
        <w:rPr>
          <w:b/>
          <w:color w:val="075A2C"/>
          <w:sz w:val="44"/>
        </w:rPr>
      </w:pPr>
      <w:r>
        <w:rPr>
          <w:b/>
          <w:noProof/>
          <w:color w:val="075A2C"/>
          <w:sz w:val="44"/>
        </w:rPr>
        <w:lastRenderedPageBreak/>
        <w:drawing>
          <wp:inline distT="0" distB="0" distL="0" distR="0" wp14:anchorId="51F39B9F" wp14:editId="686FAB95">
            <wp:extent cx="2716619" cy="905539"/>
            <wp:effectExtent l="0" t="0" r="7620" b="8890"/>
            <wp:docPr id="749268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68913" name="Picture 1"/>
                    <pic:cNvPicPr/>
                  </pic:nvPicPr>
                  <pic:blipFill>
                    <a:blip r:embed="rId12"/>
                    <a:stretch>
                      <a:fillRect/>
                    </a:stretch>
                  </pic:blipFill>
                  <pic:spPr>
                    <a:xfrm>
                      <a:off x="0" y="0"/>
                      <a:ext cx="2716619" cy="905539"/>
                    </a:xfrm>
                    <a:prstGeom prst="rect">
                      <a:avLst/>
                    </a:prstGeom>
                  </pic:spPr>
                </pic:pic>
              </a:graphicData>
            </a:graphic>
          </wp:inline>
        </w:drawing>
      </w:r>
    </w:p>
    <w:p w14:paraId="6030562F" w14:textId="1B22CF08" w:rsidR="00CD4596" w:rsidRDefault="00000000">
      <w:pPr>
        <w:pBdr>
          <w:bottom w:val="single" w:sz="12" w:space="8" w:color="075A2C"/>
        </w:pBdr>
        <w:spacing w:before="200" w:after="120"/>
      </w:pPr>
      <w:r>
        <w:rPr>
          <w:b/>
          <w:color w:val="075A2C"/>
          <w:sz w:val="54"/>
        </w:rPr>
        <w:t>INTRODUCTION TO</w:t>
      </w:r>
      <w:r>
        <w:rPr>
          <w:b/>
          <w:color w:val="075A2C"/>
          <w:sz w:val="54"/>
        </w:rPr>
        <w:br/>
        <w:t>COMMERCIAL ECONOMICS</w:t>
      </w:r>
      <w:r w:rsidR="00874E40">
        <w:rPr>
          <w:b/>
          <w:color w:val="075A2C"/>
          <w:sz w:val="54"/>
        </w:rPr>
        <w:t>W</w:t>
      </w:r>
    </w:p>
    <w:p w14:paraId="396733D9" w14:textId="77777777" w:rsidR="00CD4596" w:rsidRDefault="00000000">
      <w:pPr>
        <w:spacing w:after="200"/>
      </w:pPr>
      <w:r>
        <w:rPr>
          <w:color w:val="2F7D52"/>
          <w:sz w:val="26"/>
        </w:rPr>
        <w:t>A proposed applied school of physical economic development</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200"/>
        <w:gridCol w:w="6800"/>
        <w:gridCol w:w="360"/>
      </w:tblGrid>
      <w:tr w:rsidR="00CD4596" w14:paraId="30B487FF" w14:textId="77777777">
        <w:trPr>
          <w:cantSplit/>
          <w:jc w:val="center"/>
        </w:trPr>
        <w:tc>
          <w:tcPr>
            <w:tcW w:w="2200" w:type="dxa"/>
          </w:tcPr>
          <w:p w14:paraId="473CDF74" w14:textId="77777777" w:rsidR="00CD4596" w:rsidRDefault="00000000">
            <w:pPr>
              <w:pStyle w:val="TableText"/>
            </w:pPr>
            <w:r>
              <w:rPr>
                <w:b/>
                <w:color w:val="075A2C"/>
              </w:rPr>
              <w:t>Prepared by</w:t>
            </w:r>
          </w:p>
        </w:tc>
        <w:tc>
          <w:tcPr>
            <w:tcW w:w="7160" w:type="dxa"/>
            <w:gridSpan w:val="2"/>
          </w:tcPr>
          <w:p w14:paraId="055533E5" w14:textId="77777777" w:rsidR="00CD4596" w:rsidRDefault="00000000">
            <w:pPr>
              <w:pStyle w:val="TableText"/>
            </w:pPr>
            <w:r>
              <w:t>Youth Technologies</w:t>
            </w:r>
          </w:p>
        </w:tc>
      </w:tr>
      <w:tr w:rsidR="00CD4596" w14:paraId="57273401" w14:textId="77777777">
        <w:trPr>
          <w:cantSplit/>
          <w:jc w:val="center"/>
        </w:trPr>
        <w:tc>
          <w:tcPr>
            <w:tcW w:w="2200" w:type="dxa"/>
            <w:shd w:val="clear" w:color="auto" w:fill="F3F5F4"/>
          </w:tcPr>
          <w:p w14:paraId="18D21722" w14:textId="77777777" w:rsidR="00CD4596" w:rsidRDefault="00000000">
            <w:pPr>
              <w:pStyle w:val="TableText"/>
            </w:pPr>
            <w:r>
              <w:rPr>
                <w:b/>
                <w:color w:val="075A2C"/>
              </w:rPr>
              <w:t>Document type</w:t>
            </w:r>
          </w:p>
        </w:tc>
        <w:tc>
          <w:tcPr>
            <w:tcW w:w="7160" w:type="dxa"/>
            <w:gridSpan w:val="2"/>
            <w:shd w:val="clear" w:color="auto" w:fill="F3F5F4"/>
          </w:tcPr>
          <w:p w14:paraId="4ECE307E" w14:textId="77777777" w:rsidR="00CD4596" w:rsidRDefault="00000000">
            <w:pPr>
              <w:pStyle w:val="TableText"/>
            </w:pPr>
            <w:r>
              <w:t>Public research paper • Version 1.0</w:t>
            </w:r>
          </w:p>
        </w:tc>
      </w:tr>
      <w:tr w:rsidR="00CD4596" w14:paraId="63CDD460" w14:textId="77777777">
        <w:trPr>
          <w:cantSplit/>
          <w:jc w:val="center"/>
        </w:trPr>
        <w:tc>
          <w:tcPr>
            <w:tcW w:w="2200" w:type="dxa"/>
          </w:tcPr>
          <w:p w14:paraId="1602E93A" w14:textId="77777777" w:rsidR="00CD4596" w:rsidRDefault="00000000">
            <w:pPr>
              <w:pStyle w:val="TableText"/>
            </w:pPr>
            <w:r>
              <w:rPr>
                <w:b/>
                <w:color w:val="075A2C"/>
              </w:rPr>
              <w:t>Publication date</w:t>
            </w:r>
          </w:p>
        </w:tc>
        <w:tc>
          <w:tcPr>
            <w:tcW w:w="7160" w:type="dxa"/>
            <w:gridSpan w:val="2"/>
          </w:tcPr>
          <w:p w14:paraId="08BA07E7" w14:textId="77777777" w:rsidR="00CD4596" w:rsidRDefault="00000000">
            <w:pPr>
              <w:pStyle w:val="TableText"/>
            </w:pPr>
            <w:r>
              <w:t>July 2026</w:t>
            </w:r>
          </w:p>
        </w:tc>
      </w:tr>
      <w:tr w:rsidR="00CD4596" w14:paraId="1FBAEBE1" w14:textId="77777777">
        <w:trPr>
          <w:cantSplit/>
          <w:jc w:val="center"/>
        </w:trPr>
        <w:tc>
          <w:tcPr>
            <w:tcW w:w="2200" w:type="dxa"/>
            <w:shd w:val="clear" w:color="auto" w:fill="F3F5F4"/>
          </w:tcPr>
          <w:p w14:paraId="6A594E33" w14:textId="77777777" w:rsidR="00CD4596" w:rsidRDefault="00000000">
            <w:pPr>
              <w:pStyle w:val="TableText"/>
            </w:pPr>
            <w:r>
              <w:rPr>
                <w:b/>
                <w:color w:val="075A2C"/>
              </w:rPr>
              <w:t>Primary audience</w:t>
            </w:r>
          </w:p>
        </w:tc>
        <w:tc>
          <w:tcPr>
            <w:tcW w:w="7160" w:type="dxa"/>
            <w:gridSpan w:val="2"/>
            <w:shd w:val="clear" w:color="auto" w:fill="F3F5F4"/>
          </w:tcPr>
          <w:p w14:paraId="7F19E6DF" w14:textId="77777777" w:rsidR="00CD4596" w:rsidRDefault="00000000">
            <w:pPr>
              <w:pStyle w:val="TableText"/>
            </w:pPr>
            <w:r>
              <w:t>Egyptian business leaders, investors and policymakers</w:t>
            </w:r>
          </w:p>
        </w:tc>
      </w:tr>
      <w:tr w:rsidR="00CD4596" w14:paraId="2712B779" w14:textId="77777777">
        <w:trPr>
          <w:cantSplit/>
          <w:jc w:val="center"/>
        </w:trPr>
        <w:tc>
          <w:tcPr>
            <w:tcW w:w="2200" w:type="dxa"/>
          </w:tcPr>
          <w:p w14:paraId="60F7DBBF" w14:textId="77777777" w:rsidR="00CD4596" w:rsidRDefault="00000000">
            <w:pPr>
              <w:pStyle w:val="TableText"/>
            </w:pPr>
            <w:r>
              <w:rPr>
                <w:b/>
                <w:color w:val="075A2C"/>
              </w:rPr>
              <w:t>Geographic focus</w:t>
            </w:r>
          </w:p>
        </w:tc>
        <w:tc>
          <w:tcPr>
            <w:tcW w:w="7160" w:type="dxa"/>
            <w:gridSpan w:val="2"/>
          </w:tcPr>
          <w:p w14:paraId="1FB61364" w14:textId="77777777" w:rsidR="00CD4596" w:rsidRDefault="00000000">
            <w:pPr>
              <w:pStyle w:val="TableText"/>
            </w:pPr>
            <w:r>
              <w:t>The New Delta as an initial application; transferable across Egypt</w:t>
            </w:r>
          </w:p>
        </w:tc>
      </w:tr>
      <w:tr w:rsidR="00CD4596" w14:paraId="311DB608" w14:textId="77777777">
        <w:tblPrEx>
          <w:tblBorders>
            <w:top w:val="single" w:sz="8" w:space="0" w:color="075A2C"/>
            <w:left w:val="single" w:sz="8" w:space="0" w:color="075A2C"/>
            <w:bottom w:val="single" w:sz="8" w:space="0" w:color="075A2C"/>
            <w:right w:val="single" w:sz="8" w:space="0" w:color="075A2C"/>
            <w:insideH w:val="single" w:sz="8" w:space="0" w:color="075A2C"/>
            <w:insideV w:val="single" w:sz="8" w:space="0" w:color="075A2C"/>
          </w:tblBorders>
        </w:tblPrEx>
        <w:trPr>
          <w:gridAfter w:val="1"/>
          <w:wAfter w:w="175" w:type="dxa"/>
          <w:jc w:val="center"/>
        </w:trPr>
        <w:tc>
          <w:tcPr>
            <w:tcW w:w="9000" w:type="dxa"/>
            <w:gridSpan w:val="2"/>
            <w:shd w:val="clear" w:color="auto" w:fill="EAF4EE"/>
            <w:tcMar>
              <w:top w:w="90" w:type="dxa"/>
              <w:left w:w="100" w:type="dxa"/>
              <w:bottom w:w="90" w:type="dxa"/>
              <w:right w:w="100" w:type="dxa"/>
            </w:tcMar>
            <w:vAlign w:val="center"/>
          </w:tcPr>
          <w:p w14:paraId="14157620" w14:textId="77777777" w:rsidR="00CD4596" w:rsidRDefault="00000000">
            <w:pPr>
              <w:spacing w:after="80"/>
            </w:pPr>
            <w:r>
              <w:rPr>
                <w:b/>
                <w:color w:val="075A2C"/>
                <w:sz w:val="17"/>
              </w:rPr>
              <w:t>THE FOUNDING QUESTION</w:t>
            </w:r>
          </w:p>
          <w:p w14:paraId="166162F3" w14:textId="55C55AB8" w:rsidR="00CD4596" w:rsidRDefault="00000000">
            <w:pPr>
              <w:pStyle w:val="Callout"/>
            </w:pPr>
            <w:r>
              <w:t>How can we create</w:t>
            </w:r>
            <w:r w:rsidR="00F015AB">
              <w:t xml:space="preserve"> or develop</w:t>
            </w:r>
            <w:r>
              <w:t xml:space="preserve"> a productive society in the</w:t>
            </w:r>
            <w:r w:rsidR="00F015AB">
              <w:t xml:space="preserve"> newly developed</w:t>
            </w:r>
            <w:r>
              <w:t xml:space="preserve"> New Delta</w:t>
            </w:r>
            <w:r w:rsidR="006C184D">
              <w:t xml:space="preserve"> </w:t>
            </w:r>
            <w:r>
              <w:t>and</w:t>
            </w:r>
            <w:r w:rsidR="00F015AB">
              <w:t xml:space="preserve"> other projects across Egypt?</w:t>
            </w:r>
          </w:p>
        </w:tc>
      </w:tr>
    </w:tbl>
    <w:p w14:paraId="5BDD1BC2" w14:textId="77777777" w:rsidR="00CD4596" w:rsidRDefault="00000000">
      <w:pPr>
        <w:pStyle w:val="Heading2"/>
      </w:pPr>
      <w:r>
        <w:t>Abstract</w:t>
      </w:r>
    </w:p>
    <w:p w14:paraId="4C7ECCEC" w14:textId="77777777" w:rsidR="00CD4596" w:rsidRDefault="00000000">
      <w:pPr>
        <w:pStyle w:val="BodyText"/>
      </w:pPr>
      <w:r>
        <w:t xml:space="preserve">Commercial Economics is proposed here as an applied research program for building productive capacity. It studies the connected systems that allow people and firms to </w:t>
      </w:r>
      <w:proofErr w:type="gramStart"/>
      <w:r>
        <w:t>produce:</w:t>
      </w:r>
      <w:proofErr w:type="gramEnd"/>
      <w:r>
        <w:t xml:space="preserve"> resources, agriculture, industry, construction, logistics, infrastructure, services, finance, institutions and technology. It turns a regional development question into measurable decisions about capability, imports, investment, governance and results. Youth Technologies developed the integrated formulation from first principles for its stewardship work, informed by established economics, engineering practice and historical development cases. The theories </w:t>
      </w:r>
      <w:proofErr w:type="gramStart"/>
      <w:r>
        <w:t>are working</w:t>
      </w:r>
      <w:proofErr w:type="gramEnd"/>
      <w:r>
        <w:t xml:space="preserve"> hypotheses for pilot testing and independent review, not a claim that the field is already an established discipline. </w:t>
      </w:r>
      <w:hyperlink r:id="rId13">
        <w:r w:rsidR="00CD4596">
          <w:rPr>
            <w:color w:val="075A2C"/>
            <w:sz w:val="15"/>
            <w:vertAlign w:val="superscript"/>
          </w:rPr>
          <w:t>[21]</w:t>
        </w:r>
      </w:hyperlink>
      <w:r>
        <w:t xml:space="preserve"> </w:t>
      </w:r>
      <w:hyperlink r:id="rId14">
        <w:r w:rsidR="00CD4596">
          <w:rPr>
            <w:color w:val="075A2C"/>
            <w:sz w:val="15"/>
            <w:vertAlign w:val="superscript"/>
          </w:rPr>
          <w:t>[11]</w:t>
        </w:r>
      </w:hyperlink>
      <w:r>
        <w:t xml:space="preserve"> </w:t>
      </w:r>
      <w:hyperlink r:id="rId15">
        <w:r w:rsidR="00CD4596">
          <w:rPr>
            <w:color w:val="075A2C"/>
            <w:sz w:val="15"/>
            <w:vertAlign w:val="superscript"/>
          </w:rPr>
          <w:t>[13]</w:t>
        </w:r>
      </w:hyperlink>
    </w:p>
    <w:p w14:paraId="378865B5" w14:textId="77777777" w:rsidR="00CD4596" w:rsidRDefault="00000000">
      <w:pPr>
        <w:spacing w:after="60"/>
      </w:pPr>
      <w:r>
        <w:rPr>
          <w:b/>
          <w:color w:val="2F7D52"/>
          <w:sz w:val="16"/>
        </w:rPr>
        <w:t>SUGGESTED CITATION</w:t>
      </w:r>
    </w:p>
    <w:p w14:paraId="06B2A0C8" w14:textId="77777777" w:rsidR="00CD4596" w:rsidRDefault="00000000">
      <w:pPr>
        <w:pStyle w:val="Reference"/>
      </w:pPr>
      <w:r>
        <w:t>Youth Technologies. (2026). Introduction to Commercial Economics: A Proposed Applied School of Physical Economic Development. Version 1.0.</w:t>
      </w:r>
    </w:p>
    <w:p w14:paraId="0DCECBD6" w14:textId="77777777" w:rsidR="00CD4596" w:rsidRDefault="00000000">
      <w:pPr>
        <w:spacing w:after="60"/>
      </w:pPr>
      <w:r>
        <w:rPr>
          <w:b/>
          <w:color w:val="2F7D52"/>
          <w:sz w:val="16"/>
        </w:rPr>
        <w:t>IMPORTANT NOTE</w:t>
      </w:r>
    </w:p>
    <w:p w14:paraId="516E868A" w14:textId="77777777" w:rsidR="00CD4596" w:rsidRDefault="00000000">
      <w:pPr>
        <w:pStyle w:val="Reference"/>
      </w:pPr>
      <w:r>
        <w:t>This is a conceptual research paper, not an offer of securities, investment advice, engineering approval, medical guidance or legal opinion. Every project requires independent technical, financial, environmental, social, legal and regulatory due diligence. The draft sections requested for exclusion do not appear in this paper.</w:t>
      </w:r>
    </w:p>
    <w:p w14:paraId="182C4602" w14:textId="77777777" w:rsidR="00CD4596" w:rsidRDefault="00000000">
      <w:r>
        <w:br w:type="page"/>
      </w:r>
    </w:p>
    <w:p w14:paraId="75868773" w14:textId="77777777" w:rsidR="00CD4596" w:rsidRDefault="00000000">
      <w:pPr>
        <w:pStyle w:val="Heading1"/>
        <w:pBdr>
          <w:bottom w:val="single" w:sz="6" w:space="6" w:color="CFE5D7"/>
        </w:pBdr>
      </w:pPr>
      <w:r>
        <w:lastRenderedPageBreak/>
        <w:t>Contents</w:t>
      </w:r>
    </w:p>
    <w:tbl>
      <w:tblPr>
        <w:tblW w:w="9360" w:type="dxa"/>
        <w:jc w:val="center"/>
        <w:tblBorders>
          <w:top w:val="single" w:sz="3" w:space="0" w:color="DCE5E0"/>
          <w:left w:val="single" w:sz="3" w:space="0" w:color="DCE5E0"/>
          <w:bottom w:val="single" w:sz="3" w:space="0" w:color="DCE5E0"/>
          <w:right w:val="single" w:sz="3" w:space="0" w:color="DCE5E0"/>
          <w:insideH w:val="single" w:sz="3" w:space="0" w:color="DCE5E0"/>
          <w:insideV w:val="single" w:sz="3" w:space="0" w:color="DCE5E0"/>
        </w:tblBorders>
        <w:tblLayout w:type="fixed"/>
        <w:tblLook w:val="04A0" w:firstRow="1" w:lastRow="0" w:firstColumn="1" w:lastColumn="0" w:noHBand="0" w:noVBand="1"/>
      </w:tblPr>
      <w:tblGrid>
        <w:gridCol w:w="3100"/>
        <w:gridCol w:w="6260"/>
      </w:tblGrid>
      <w:tr w:rsidR="00CD4596" w14:paraId="443A76D2" w14:textId="77777777">
        <w:trPr>
          <w:cantSplit/>
          <w:jc w:val="center"/>
        </w:trPr>
        <w:tc>
          <w:tcPr>
            <w:tcW w:w="3100" w:type="dxa"/>
          </w:tcPr>
          <w:p w14:paraId="450746FB" w14:textId="77777777" w:rsidR="00CD4596" w:rsidRDefault="00000000">
            <w:pPr>
              <w:pStyle w:val="TableText"/>
            </w:pPr>
            <w:r>
              <w:rPr>
                <w:b/>
                <w:color w:val="075A2C"/>
              </w:rPr>
              <w:t>Executive overview</w:t>
            </w:r>
          </w:p>
        </w:tc>
        <w:tc>
          <w:tcPr>
            <w:tcW w:w="6260" w:type="dxa"/>
          </w:tcPr>
          <w:p w14:paraId="433ADCEE" w14:textId="77777777" w:rsidR="00CD4596" w:rsidRDefault="00000000">
            <w:pPr>
              <w:pStyle w:val="TableText"/>
            </w:pPr>
            <w:r>
              <w:t>What the proposed field is, why it exists and what makes it useful.</w:t>
            </w:r>
          </w:p>
        </w:tc>
      </w:tr>
      <w:tr w:rsidR="00CD4596" w14:paraId="1D73D6BF" w14:textId="77777777">
        <w:trPr>
          <w:cantSplit/>
          <w:jc w:val="center"/>
        </w:trPr>
        <w:tc>
          <w:tcPr>
            <w:tcW w:w="3100" w:type="dxa"/>
            <w:shd w:val="clear" w:color="auto" w:fill="F3F5F4"/>
          </w:tcPr>
          <w:p w14:paraId="11ED2065" w14:textId="77777777" w:rsidR="00CD4596" w:rsidRDefault="00000000">
            <w:pPr>
              <w:pStyle w:val="TableText"/>
            </w:pPr>
            <w:proofErr w:type="gramStart"/>
            <w:r>
              <w:rPr>
                <w:b/>
                <w:color w:val="075A2C"/>
              </w:rPr>
              <w:t>1  A</w:t>
            </w:r>
            <w:proofErr w:type="gramEnd"/>
            <w:r>
              <w:rPr>
                <w:b/>
                <w:color w:val="075A2C"/>
              </w:rPr>
              <w:t xml:space="preserve"> field built around production</w:t>
            </w:r>
          </w:p>
        </w:tc>
        <w:tc>
          <w:tcPr>
            <w:tcW w:w="6260" w:type="dxa"/>
            <w:shd w:val="clear" w:color="auto" w:fill="F3F5F4"/>
          </w:tcPr>
          <w:p w14:paraId="51008ED1" w14:textId="77777777" w:rsidR="00CD4596" w:rsidRDefault="00000000">
            <w:pPr>
              <w:pStyle w:val="TableText"/>
            </w:pPr>
            <w:r>
              <w:t>Definition, boundaries, unit of analysis and scientific posture.</w:t>
            </w:r>
          </w:p>
        </w:tc>
      </w:tr>
      <w:tr w:rsidR="00CD4596" w14:paraId="58D4DD34" w14:textId="77777777">
        <w:trPr>
          <w:cantSplit/>
          <w:jc w:val="center"/>
        </w:trPr>
        <w:tc>
          <w:tcPr>
            <w:tcW w:w="3100" w:type="dxa"/>
          </w:tcPr>
          <w:p w14:paraId="000229AB" w14:textId="77777777" w:rsidR="00CD4596" w:rsidRDefault="00000000">
            <w:pPr>
              <w:pStyle w:val="TableText"/>
            </w:pPr>
            <w:proofErr w:type="gramStart"/>
            <w:r>
              <w:rPr>
                <w:b/>
                <w:color w:val="075A2C"/>
              </w:rPr>
              <w:t>2  Intellectual</w:t>
            </w:r>
            <w:proofErr w:type="gramEnd"/>
            <w:r>
              <w:rPr>
                <w:b/>
                <w:color w:val="075A2C"/>
              </w:rPr>
              <w:t xml:space="preserve"> origins and lessons</w:t>
            </w:r>
          </w:p>
        </w:tc>
        <w:tc>
          <w:tcPr>
            <w:tcW w:w="6260" w:type="dxa"/>
          </w:tcPr>
          <w:p w14:paraId="6E053526" w14:textId="77777777" w:rsidR="00CD4596" w:rsidRDefault="00000000">
            <w:pPr>
              <w:pStyle w:val="TableText"/>
            </w:pPr>
            <w:r>
              <w:t>What historical development cases suggest—and what they do not prove.</w:t>
            </w:r>
          </w:p>
        </w:tc>
      </w:tr>
      <w:tr w:rsidR="00CD4596" w14:paraId="323F4F4C" w14:textId="77777777">
        <w:trPr>
          <w:cantSplit/>
          <w:jc w:val="center"/>
        </w:trPr>
        <w:tc>
          <w:tcPr>
            <w:tcW w:w="3100" w:type="dxa"/>
            <w:shd w:val="clear" w:color="auto" w:fill="F3F5F4"/>
          </w:tcPr>
          <w:p w14:paraId="7936F8F7" w14:textId="77777777" w:rsidR="00CD4596" w:rsidRDefault="00000000">
            <w:pPr>
              <w:pStyle w:val="TableText"/>
            </w:pPr>
            <w:proofErr w:type="gramStart"/>
            <w:r>
              <w:rPr>
                <w:b/>
                <w:color w:val="075A2C"/>
              </w:rPr>
              <w:t>3  The</w:t>
            </w:r>
            <w:proofErr w:type="gramEnd"/>
            <w:r>
              <w:rPr>
                <w:b/>
                <w:color w:val="075A2C"/>
              </w:rPr>
              <w:t xml:space="preserve"> architecture of a physical economy</w:t>
            </w:r>
          </w:p>
        </w:tc>
        <w:tc>
          <w:tcPr>
            <w:tcW w:w="6260" w:type="dxa"/>
            <w:shd w:val="clear" w:color="auto" w:fill="F3F5F4"/>
          </w:tcPr>
          <w:p w14:paraId="4CFA1D35" w14:textId="77777777" w:rsidR="00CD4596" w:rsidRDefault="00000000">
            <w:pPr>
              <w:pStyle w:val="TableText"/>
            </w:pPr>
            <w:r>
              <w:t>Resources, production, foundations, support systems and resilience.</w:t>
            </w:r>
          </w:p>
        </w:tc>
      </w:tr>
      <w:tr w:rsidR="00CD4596" w14:paraId="67D09317" w14:textId="77777777">
        <w:trPr>
          <w:cantSplit/>
          <w:jc w:val="center"/>
        </w:trPr>
        <w:tc>
          <w:tcPr>
            <w:tcW w:w="3100" w:type="dxa"/>
          </w:tcPr>
          <w:p w14:paraId="41D1F6AB" w14:textId="77777777" w:rsidR="00CD4596" w:rsidRDefault="00000000">
            <w:pPr>
              <w:pStyle w:val="TableText"/>
            </w:pPr>
            <w:proofErr w:type="gramStart"/>
            <w:r>
              <w:rPr>
                <w:b/>
                <w:color w:val="075A2C"/>
              </w:rPr>
              <w:t>4  The</w:t>
            </w:r>
            <w:proofErr w:type="gramEnd"/>
            <w:r>
              <w:rPr>
                <w:b/>
                <w:color w:val="075A2C"/>
              </w:rPr>
              <w:t xml:space="preserve"> Commercial Economics method</w:t>
            </w:r>
          </w:p>
        </w:tc>
        <w:tc>
          <w:tcPr>
            <w:tcW w:w="6260" w:type="dxa"/>
          </w:tcPr>
          <w:p w14:paraId="2EF0D2B7" w14:textId="77777777" w:rsidR="00CD4596" w:rsidRDefault="00000000">
            <w:pPr>
              <w:pStyle w:val="TableText"/>
            </w:pPr>
            <w:r>
              <w:t>A repeatable R&amp;D workflow from place diagnosis to measured delivery.</w:t>
            </w:r>
          </w:p>
        </w:tc>
      </w:tr>
      <w:tr w:rsidR="00CD4596" w14:paraId="139DB4B5" w14:textId="77777777">
        <w:trPr>
          <w:cantSplit/>
          <w:jc w:val="center"/>
        </w:trPr>
        <w:tc>
          <w:tcPr>
            <w:tcW w:w="3100" w:type="dxa"/>
            <w:shd w:val="clear" w:color="auto" w:fill="F3F5F4"/>
          </w:tcPr>
          <w:p w14:paraId="47A7C6AD" w14:textId="77777777" w:rsidR="00CD4596" w:rsidRDefault="00000000">
            <w:pPr>
              <w:pStyle w:val="TableText"/>
            </w:pPr>
            <w:proofErr w:type="gramStart"/>
            <w:r>
              <w:rPr>
                <w:b/>
                <w:color w:val="075A2C"/>
              </w:rPr>
              <w:t>5  Core</w:t>
            </w:r>
            <w:proofErr w:type="gramEnd"/>
            <w:r>
              <w:rPr>
                <w:b/>
                <w:color w:val="075A2C"/>
              </w:rPr>
              <w:t xml:space="preserve"> theories as testable propositions</w:t>
            </w:r>
          </w:p>
        </w:tc>
        <w:tc>
          <w:tcPr>
            <w:tcW w:w="6260" w:type="dxa"/>
            <w:shd w:val="clear" w:color="auto" w:fill="F3F5F4"/>
          </w:tcPr>
          <w:p w14:paraId="0A7DB537" w14:textId="77777777" w:rsidR="00CD4596" w:rsidRDefault="00000000">
            <w:pPr>
              <w:pStyle w:val="TableText"/>
            </w:pPr>
            <w:r>
              <w:t>Inflation, foreign exchange, productive output, guidance and growth.</w:t>
            </w:r>
          </w:p>
        </w:tc>
      </w:tr>
      <w:tr w:rsidR="00CD4596" w14:paraId="610D85F7" w14:textId="77777777">
        <w:trPr>
          <w:cantSplit/>
          <w:jc w:val="center"/>
        </w:trPr>
        <w:tc>
          <w:tcPr>
            <w:tcW w:w="3100" w:type="dxa"/>
          </w:tcPr>
          <w:p w14:paraId="242A404C" w14:textId="77777777" w:rsidR="00CD4596" w:rsidRDefault="00000000">
            <w:pPr>
              <w:pStyle w:val="TableText"/>
            </w:pPr>
            <w:proofErr w:type="gramStart"/>
            <w:r>
              <w:rPr>
                <w:b/>
                <w:color w:val="075A2C"/>
              </w:rPr>
              <w:t>6  Applied</w:t>
            </w:r>
            <w:proofErr w:type="gramEnd"/>
            <w:r>
              <w:rPr>
                <w:b/>
                <w:color w:val="075A2C"/>
              </w:rPr>
              <w:t xml:space="preserve"> instruments</w:t>
            </w:r>
          </w:p>
        </w:tc>
        <w:tc>
          <w:tcPr>
            <w:tcW w:w="6260" w:type="dxa"/>
          </w:tcPr>
          <w:p w14:paraId="03F17476" w14:textId="77777777" w:rsidR="00CD4596" w:rsidRDefault="00000000">
            <w:pPr>
              <w:pStyle w:val="TableText"/>
            </w:pPr>
            <w:r>
              <w:t>Towns, finance, digital commerce, construction, eco-industry and healthcare R&amp;D.</w:t>
            </w:r>
          </w:p>
        </w:tc>
      </w:tr>
      <w:tr w:rsidR="00CD4596" w14:paraId="16700A4F" w14:textId="77777777">
        <w:trPr>
          <w:cantSplit/>
          <w:jc w:val="center"/>
        </w:trPr>
        <w:tc>
          <w:tcPr>
            <w:tcW w:w="3100" w:type="dxa"/>
            <w:shd w:val="clear" w:color="auto" w:fill="F3F5F4"/>
          </w:tcPr>
          <w:p w14:paraId="5ED95049" w14:textId="77777777" w:rsidR="00CD4596" w:rsidRDefault="00000000">
            <w:pPr>
              <w:pStyle w:val="TableText"/>
            </w:pPr>
            <w:proofErr w:type="gramStart"/>
            <w:r>
              <w:rPr>
                <w:b/>
                <w:color w:val="075A2C"/>
              </w:rPr>
              <w:t>7  Applying</w:t>
            </w:r>
            <w:proofErr w:type="gramEnd"/>
            <w:r>
              <w:rPr>
                <w:b/>
                <w:color w:val="075A2C"/>
              </w:rPr>
              <w:t xml:space="preserve"> the framework to the New Delta</w:t>
            </w:r>
          </w:p>
        </w:tc>
        <w:tc>
          <w:tcPr>
            <w:tcW w:w="6260" w:type="dxa"/>
            <w:shd w:val="clear" w:color="auto" w:fill="F3F5F4"/>
          </w:tcPr>
          <w:p w14:paraId="51E9EE83" w14:textId="77777777" w:rsidR="00CD4596" w:rsidRDefault="00000000">
            <w:pPr>
              <w:pStyle w:val="TableText"/>
            </w:pPr>
            <w:r>
              <w:t>A phased, evidence-led pathway for a productive regional system.</w:t>
            </w:r>
          </w:p>
        </w:tc>
      </w:tr>
      <w:tr w:rsidR="00CD4596" w14:paraId="279CE612" w14:textId="77777777">
        <w:trPr>
          <w:cantSplit/>
          <w:jc w:val="center"/>
        </w:trPr>
        <w:tc>
          <w:tcPr>
            <w:tcW w:w="3100" w:type="dxa"/>
          </w:tcPr>
          <w:p w14:paraId="63482FB2" w14:textId="77777777" w:rsidR="00CD4596" w:rsidRDefault="00000000">
            <w:pPr>
              <w:pStyle w:val="TableText"/>
            </w:pPr>
            <w:proofErr w:type="gramStart"/>
            <w:r>
              <w:rPr>
                <w:b/>
                <w:color w:val="075A2C"/>
              </w:rPr>
              <w:t>8  Youth</w:t>
            </w:r>
            <w:proofErr w:type="gramEnd"/>
            <w:r>
              <w:rPr>
                <w:b/>
                <w:color w:val="075A2C"/>
              </w:rPr>
              <w:t xml:space="preserve"> Technologies and stewardship</w:t>
            </w:r>
          </w:p>
        </w:tc>
        <w:tc>
          <w:tcPr>
            <w:tcW w:w="6260" w:type="dxa"/>
          </w:tcPr>
          <w:p w14:paraId="635AA5F0" w14:textId="77777777" w:rsidR="00CD4596" w:rsidRDefault="00000000">
            <w:pPr>
              <w:pStyle w:val="TableText"/>
            </w:pPr>
            <w:r>
              <w:t>The firm’s operating model, services, governance and commercial logic.</w:t>
            </w:r>
          </w:p>
        </w:tc>
      </w:tr>
      <w:tr w:rsidR="00CD4596" w14:paraId="05FA2F45" w14:textId="77777777">
        <w:trPr>
          <w:cantSplit/>
          <w:jc w:val="center"/>
        </w:trPr>
        <w:tc>
          <w:tcPr>
            <w:tcW w:w="3100" w:type="dxa"/>
            <w:shd w:val="clear" w:color="auto" w:fill="F3F5F4"/>
          </w:tcPr>
          <w:p w14:paraId="4932FA02" w14:textId="77777777" w:rsidR="00CD4596" w:rsidRDefault="00000000">
            <w:pPr>
              <w:pStyle w:val="TableText"/>
            </w:pPr>
            <w:proofErr w:type="gramStart"/>
            <w:r>
              <w:rPr>
                <w:b/>
                <w:color w:val="075A2C"/>
              </w:rPr>
              <w:t>9  Risks</w:t>
            </w:r>
            <w:proofErr w:type="gramEnd"/>
            <w:r>
              <w:rPr>
                <w:b/>
                <w:color w:val="075A2C"/>
              </w:rPr>
              <w:t>, safeguards and research agenda</w:t>
            </w:r>
          </w:p>
        </w:tc>
        <w:tc>
          <w:tcPr>
            <w:tcW w:w="6260" w:type="dxa"/>
            <w:shd w:val="clear" w:color="auto" w:fill="F3F5F4"/>
          </w:tcPr>
          <w:p w14:paraId="43AE04C7" w14:textId="77777777" w:rsidR="00CD4596" w:rsidRDefault="00000000">
            <w:pPr>
              <w:pStyle w:val="TableText"/>
            </w:pPr>
            <w:r>
              <w:t>How to avoid overreach and turn a doctrine into cumulative evidence.</w:t>
            </w:r>
          </w:p>
        </w:tc>
      </w:tr>
      <w:tr w:rsidR="00CD4596" w14:paraId="0B67B53A" w14:textId="77777777">
        <w:trPr>
          <w:cantSplit/>
          <w:jc w:val="center"/>
        </w:trPr>
        <w:tc>
          <w:tcPr>
            <w:tcW w:w="3100" w:type="dxa"/>
          </w:tcPr>
          <w:p w14:paraId="69F42FE6" w14:textId="77777777" w:rsidR="00CD4596" w:rsidRDefault="00000000">
            <w:pPr>
              <w:pStyle w:val="TableText"/>
            </w:pPr>
            <w:r>
              <w:rPr>
                <w:b/>
                <w:color w:val="075A2C"/>
              </w:rPr>
              <w:t>Conclusion</w:t>
            </w:r>
          </w:p>
        </w:tc>
        <w:tc>
          <w:tcPr>
            <w:tcW w:w="6260" w:type="dxa"/>
          </w:tcPr>
          <w:p w14:paraId="57DE6F7B" w14:textId="77777777" w:rsidR="00CD4596" w:rsidRDefault="00000000">
            <w:pPr>
              <w:pStyle w:val="TableText"/>
            </w:pPr>
            <w:r>
              <w:t>A practical invitation to test, improve and scale the framework.</w:t>
            </w:r>
          </w:p>
        </w:tc>
      </w:tr>
      <w:tr w:rsidR="00CD4596" w14:paraId="63656AC4" w14:textId="77777777">
        <w:trPr>
          <w:cantSplit/>
          <w:jc w:val="center"/>
        </w:trPr>
        <w:tc>
          <w:tcPr>
            <w:tcW w:w="3100" w:type="dxa"/>
            <w:shd w:val="clear" w:color="auto" w:fill="F3F5F4"/>
          </w:tcPr>
          <w:p w14:paraId="24A028FF" w14:textId="77777777" w:rsidR="00CD4596" w:rsidRDefault="00000000">
            <w:pPr>
              <w:pStyle w:val="TableText"/>
            </w:pPr>
            <w:r>
              <w:rPr>
                <w:b/>
                <w:color w:val="075A2C"/>
              </w:rPr>
              <w:t>Appendices and references</w:t>
            </w:r>
          </w:p>
        </w:tc>
        <w:tc>
          <w:tcPr>
            <w:tcW w:w="6260" w:type="dxa"/>
            <w:shd w:val="clear" w:color="auto" w:fill="F3F5F4"/>
          </w:tcPr>
          <w:p w14:paraId="2F517795" w14:textId="76CFB627" w:rsidR="000A2BEE" w:rsidRDefault="00000000" w:rsidP="000A2BEE">
            <w:pPr>
              <w:pStyle w:val="TableText"/>
            </w:pPr>
            <w:r>
              <w:t>Glossary, evaluation scorecard and source list.</w:t>
            </w:r>
          </w:p>
        </w:tc>
      </w:tr>
    </w:tbl>
    <w:p w14:paraId="198BDF4C" w14:textId="77777777" w:rsidR="000A2BEE" w:rsidRDefault="000A2BEE"/>
    <w:tbl>
      <w:tblPr>
        <w:tblW w:w="9000" w:type="dxa"/>
        <w:jc w:val="center"/>
        <w:tblBorders>
          <w:top w:val="single" w:sz="8" w:space="0" w:color="2F7D52"/>
          <w:left w:val="single" w:sz="8" w:space="0" w:color="2F7D52"/>
          <w:bottom w:val="single" w:sz="8" w:space="0" w:color="2F7D52"/>
          <w:right w:val="single" w:sz="8" w:space="0" w:color="2F7D52"/>
          <w:insideH w:val="single" w:sz="8" w:space="0" w:color="2F7D52"/>
          <w:insideV w:val="single" w:sz="8" w:space="0" w:color="2F7D52"/>
        </w:tblBorders>
        <w:tblLayout w:type="fixed"/>
        <w:tblLook w:val="04A0" w:firstRow="1" w:lastRow="0" w:firstColumn="1" w:lastColumn="0" w:noHBand="0" w:noVBand="1"/>
      </w:tblPr>
      <w:tblGrid>
        <w:gridCol w:w="9000"/>
      </w:tblGrid>
      <w:tr w:rsidR="00CD4596" w14:paraId="74B98D4F" w14:textId="77777777" w:rsidTr="000A2BEE">
        <w:trPr>
          <w:jc w:val="center"/>
        </w:trPr>
        <w:tc>
          <w:tcPr>
            <w:tcW w:w="9000" w:type="dxa"/>
            <w:shd w:val="clear" w:color="auto" w:fill="F3F5F4"/>
            <w:tcMar>
              <w:top w:w="90" w:type="dxa"/>
              <w:left w:w="100" w:type="dxa"/>
              <w:bottom w:w="90" w:type="dxa"/>
              <w:right w:w="100" w:type="dxa"/>
            </w:tcMar>
            <w:vAlign w:val="center"/>
          </w:tcPr>
          <w:p w14:paraId="44BDC0A9" w14:textId="77777777" w:rsidR="00CD4596" w:rsidRDefault="00000000">
            <w:pPr>
              <w:spacing w:after="80"/>
            </w:pPr>
            <w:r>
              <w:rPr>
                <w:b/>
                <w:color w:val="075A2C"/>
                <w:sz w:val="17"/>
              </w:rPr>
              <w:t>HOW TO READ THIS PAPER</w:t>
            </w:r>
          </w:p>
          <w:p w14:paraId="3E94FCF8" w14:textId="77777777" w:rsidR="00CD4596" w:rsidRDefault="00000000">
            <w:pPr>
              <w:pStyle w:val="Callout"/>
            </w:pPr>
            <w:r>
              <w:t>Business leaders can begin with Chapters 5–8. Policymakers can begin with Chapters 4, 7 and 9. Researchers can begin with the definitions, hypotheses and measurement framework in Chapters 1, 5 and the appendices.</w:t>
            </w:r>
          </w:p>
        </w:tc>
      </w:tr>
    </w:tbl>
    <w:p w14:paraId="0D6EFA07" w14:textId="77777777" w:rsidR="00CD4596" w:rsidRDefault="00000000">
      <w:pPr>
        <w:pStyle w:val="Heading1"/>
        <w:pageBreakBefore/>
        <w:pBdr>
          <w:bottom w:val="single" w:sz="6" w:space="6" w:color="CFE5D7"/>
        </w:pBdr>
      </w:pPr>
      <w:proofErr w:type="gramStart"/>
      <w:r>
        <w:rPr>
          <w:color w:val="2F7D52"/>
        </w:rPr>
        <w:lastRenderedPageBreak/>
        <w:t xml:space="preserve">00  </w:t>
      </w:r>
      <w:r>
        <w:t>Executive</w:t>
      </w:r>
      <w:proofErr w:type="gramEnd"/>
      <w:r>
        <w:t xml:space="preserve"> overview</w:t>
      </w:r>
    </w:p>
    <w:p w14:paraId="757A886D" w14:textId="77777777" w:rsidR="00CD4596" w:rsidRDefault="00000000">
      <w:pPr>
        <w:pStyle w:val="ChapterSubtitle"/>
      </w:pPr>
      <w:r>
        <w:t>Commercial Economics starts with a place, a population and a production problem—not with a slogan.</w:t>
      </w:r>
    </w:p>
    <w:p w14:paraId="78D0AC0A" w14:textId="77777777" w:rsidR="00CD4596" w:rsidRDefault="00000000">
      <w:pPr>
        <w:pStyle w:val="BodyText"/>
      </w:pPr>
      <w:r>
        <w:t>Egypt’s development challenge is not only to increase expenditure or the number of projects. It is to create systems in which projects reinforce one another: farms connected to processors; processors connected to suppliers, energy and logistics; workers connected to housing, healthcare and education; and finance connected to assets that generate durable cash flow and public value. Commercial Economics is Youth Technologies’ proposed framework for designing those systems.</w:t>
      </w:r>
    </w:p>
    <w:tbl>
      <w:tblPr>
        <w:tblW w:w="9000" w:type="dxa"/>
        <w:jc w:val="center"/>
        <w:tblBorders>
          <w:top w:val="single" w:sz="8" w:space="0" w:color="075A2C"/>
          <w:left w:val="single" w:sz="8" w:space="0" w:color="075A2C"/>
          <w:bottom w:val="single" w:sz="8" w:space="0" w:color="075A2C"/>
          <w:right w:val="single" w:sz="8" w:space="0" w:color="075A2C"/>
          <w:insideH w:val="single" w:sz="8" w:space="0" w:color="075A2C"/>
          <w:insideV w:val="single" w:sz="8" w:space="0" w:color="075A2C"/>
        </w:tblBorders>
        <w:tblLayout w:type="fixed"/>
        <w:tblLook w:val="04A0" w:firstRow="1" w:lastRow="0" w:firstColumn="1" w:lastColumn="0" w:noHBand="0" w:noVBand="1"/>
      </w:tblPr>
      <w:tblGrid>
        <w:gridCol w:w="9000"/>
      </w:tblGrid>
      <w:tr w:rsidR="00CD4596" w14:paraId="21698C47" w14:textId="77777777">
        <w:trPr>
          <w:jc w:val="center"/>
        </w:trPr>
        <w:tc>
          <w:tcPr>
            <w:tcW w:w="9000" w:type="dxa"/>
            <w:shd w:val="clear" w:color="auto" w:fill="EAF4EE"/>
            <w:tcMar>
              <w:top w:w="90" w:type="dxa"/>
              <w:left w:w="100" w:type="dxa"/>
              <w:bottom w:w="90" w:type="dxa"/>
              <w:right w:w="100" w:type="dxa"/>
            </w:tcMar>
            <w:vAlign w:val="center"/>
          </w:tcPr>
          <w:p w14:paraId="7864F1F1" w14:textId="77777777" w:rsidR="00CD4596" w:rsidRDefault="00000000">
            <w:pPr>
              <w:spacing w:after="80"/>
            </w:pPr>
            <w:r>
              <w:rPr>
                <w:b/>
                <w:color w:val="075A2C"/>
                <w:sz w:val="17"/>
              </w:rPr>
              <w:t>WORKING DEFINITION</w:t>
            </w:r>
          </w:p>
          <w:p w14:paraId="53A2A38F" w14:textId="43581B01" w:rsidR="00CD4596" w:rsidRDefault="00000000">
            <w:pPr>
              <w:pStyle w:val="Callout"/>
            </w:pPr>
            <w:r>
              <w:t xml:space="preserve">Commercial Economics is the applied study and design of the institutions, </w:t>
            </w:r>
            <w:r w:rsidR="00223D7D">
              <w:t xml:space="preserve">economic &amp; productive </w:t>
            </w:r>
            <w:r>
              <w:t>capabilities, value chains and physical systems through which a society</w:t>
            </w:r>
            <w:r w:rsidR="0095227B">
              <w:t xml:space="preserve"> and community</w:t>
            </w:r>
            <w:r>
              <w:t xml:space="preserve"> </w:t>
            </w:r>
            <w:proofErr w:type="gramStart"/>
            <w:r>
              <w:t>produces</w:t>
            </w:r>
            <w:proofErr w:type="gramEnd"/>
            <w:r>
              <w:t xml:space="preserve">, exchanges and </w:t>
            </w:r>
            <w:proofErr w:type="gramStart"/>
            <w:r w:rsidR="00BB23ED">
              <w:t>creates in</w:t>
            </w:r>
            <w:proofErr w:type="gramEnd"/>
            <w:r>
              <w:t xml:space="preserve"> useful goods and services</w:t>
            </w:r>
            <w:r w:rsidR="002F2FDD">
              <w:t xml:space="preserve"> for the rest of the economy and global economy.</w:t>
            </w:r>
          </w:p>
        </w:tc>
      </w:tr>
    </w:tbl>
    <w:p w14:paraId="693745C6" w14:textId="77777777" w:rsidR="00CD4596" w:rsidRDefault="00000000">
      <w:pPr>
        <w:pStyle w:val="BodyText"/>
      </w:pPr>
      <w:r>
        <w:t>The word commercial does not mean that every public service must be privately owned or immediately profitable. It means that economic activity must ultimately connect resources, capability, users and sustainable operating models. The word physical does not reject money, prices, mathematics or expectations. It insists that every financial claim is tested against real capacity: materials, skills, machines, water, energy, time, transport, institutions and demand.</w:t>
      </w:r>
    </w:p>
    <w:p w14:paraId="3E674F1B" w14:textId="77777777" w:rsidR="006A02EB" w:rsidRDefault="006A02EB">
      <w:pPr>
        <w:pStyle w:val="BodyText"/>
      </w:pPr>
    </w:p>
    <w:p w14:paraId="24ABED07" w14:textId="03B8ABF0" w:rsidR="006A02EB" w:rsidRDefault="006A02EB">
      <w:pPr>
        <w:pStyle w:val="BodyText"/>
      </w:pPr>
      <w:r>
        <w:t xml:space="preserve">Instead, Commercial Economics is considered a generalist field that integrates other fields relevant to economic development </w:t>
      </w:r>
      <w:r w:rsidR="00CC753A">
        <w:t>and</w:t>
      </w:r>
      <w:r>
        <w:t xml:space="preserve"> business administration of various projects </w:t>
      </w:r>
      <w:proofErr w:type="gramStart"/>
      <w:r>
        <w:t>in order to</w:t>
      </w:r>
      <w:proofErr w:type="gramEnd"/>
      <w:r>
        <w:t xml:space="preserve"> create successful businesses</w:t>
      </w:r>
      <w:r w:rsidR="000E3498">
        <w:t xml:space="preserve"> and economic projects. It has the capability of addressing a power station’s needs, the standards that a town should have to be productive and functional; towns can never function as housing or housing and commerce, it needs a new and attractive model where jobs are plentiful through integrating all vital asset classes into the town; industry, corporate offices, government facilities, education, healthcare, emergency services, government services, banking, </w:t>
      </w:r>
      <w:r w:rsidR="00B02B73">
        <w:t>surrounding agriculture</w:t>
      </w:r>
      <w:r w:rsidR="000E3498">
        <w:t xml:space="preserve">, and more. </w:t>
      </w:r>
      <w:r w:rsidR="000C27BF">
        <w:t xml:space="preserve">All of this cannot appear on </w:t>
      </w:r>
      <w:proofErr w:type="spellStart"/>
      <w:proofErr w:type="gramStart"/>
      <w:r w:rsidR="000C27BF">
        <w:t>it’s</w:t>
      </w:r>
      <w:proofErr w:type="spellEnd"/>
      <w:proofErr w:type="gramEnd"/>
      <w:r w:rsidR="000C27BF">
        <w:t xml:space="preserve"> own. Commercial Economics solves the question of what we need to build in the New Delta and new development projects all over Egypt. Youth solves the how of how we can achieve this by acting as a stewardship company specializing in economic sector services like R&amp;D, alliance platform offering jobs, opportunities for businesses and government, and property to be organized and developed by development companies and/or government working jointly with Youth to develop new businesses for themselves and new economic towns for Egyptian people to migrate to and build new lives in.</w:t>
      </w:r>
    </w:p>
    <w:p w14:paraId="5BFE3EB9" w14:textId="77777777" w:rsidR="006A02EB" w:rsidRDefault="006A02EB">
      <w:pPr>
        <w:pStyle w:val="BodyText"/>
      </w:pPr>
    </w:p>
    <w:p w14:paraId="087CAFCC" w14:textId="77777777" w:rsidR="00CD4596" w:rsidRDefault="00000000">
      <w:pPr>
        <w:pStyle w:val="Heading2"/>
      </w:pPr>
      <w:r>
        <w:lastRenderedPageBreak/>
        <w:t>The proposition in one page</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1900"/>
        <w:gridCol w:w="4300"/>
        <w:gridCol w:w="3160"/>
      </w:tblGrid>
      <w:tr w:rsidR="00CD4596" w14:paraId="07ADA5C7" w14:textId="77777777">
        <w:trPr>
          <w:tblHeader/>
          <w:jc w:val="center"/>
        </w:trPr>
        <w:tc>
          <w:tcPr>
            <w:tcW w:w="1900" w:type="dxa"/>
            <w:shd w:val="clear" w:color="auto" w:fill="075A2C"/>
            <w:tcMar>
              <w:top w:w="90" w:type="dxa"/>
              <w:left w:w="100" w:type="dxa"/>
              <w:bottom w:w="90" w:type="dxa"/>
              <w:right w:w="100" w:type="dxa"/>
            </w:tcMar>
            <w:vAlign w:val="center"/>
          </w:tcPr>
          <w:p w14:paraId="3270EA0B" w14:textId="77777777" w:rsidR="00CD4596" w:rsidRDefault="00000000">
            <w:r>
              <w:rPr>
                <w:b/>
                <w:color w:val="FFFFFF"/>
                <w:sz w:val="17"/>
              </w:rPr>
              <w:t>Question</w:t>
            </w:r>
          </w:p>
        </w:tc>
        <w:tc>
          <w:tcPr>
            <w:tcW w:w="4300" w:type="dxa"/>
            <w:shd w:val="clear" w:color="auto" w:fill="075A2C"/>
            <w:tcMar>
              <w:top w:w="90" w:type="dxa"/>
              <w:left w:w="100" w:type="dxa"/>
              <w:bottom w:w="90" w:type="dxa"/>
              <w:right w:w="100" w:type="dxa"/>
            </w:tcMar>
            <w:vAlign w:val="center"/>
          </w:tcPr>
          <w:p w14:paraId="30CF8608" w14:textId="77777777" w:rsidR="00CD4596" w:rsidRDefault="00000000">
            <w:r>
              <w:rPr>
                <w:b/>
                <w:color w:val="FFFFFF"/>
                <w:sz w:val="17"/>
              </w:rPr>
              <w:t>Commercial Economics answer</w:t>
            </w:r>
          </w:p>
        </w:tc>
        <w:tc>
          <w:tcPr>
            <w:tcW w:w="3160" w:type="dxa"/>
            <w:shd w:val="clear" w:color="auto" w:fill="075A2C"/>
            <w:tcMar>
              <w:top w:w="90" w:type="dxa"/>
              <w:left w:w="100" w:type="dxa"/>
              <w:bottom w:w="90" w:type="dxa"/>
              <w:right w:w="100" w:type="dxa"/>
            </w:tcMar>
            <w:vAlign w:val="center"/>
          </w:tcPr>
          <w:p w14:paraId="2455B92C" w14:textId="77777777" w:rsidR="00CD4596" w:rsidRDefault="00000000">
            <w:r>
              <w:rPr>
                <w:b/>
                <w:color w:val="FFFFFF"/>
                <w:sz w:val="17"/>
              </w:rPr>
              <w:t>Evidence required</w:t>
            </w:r>
          </w:p>
        </w:tc>
      </w:tr>
      <w:tr w:rsidR="00CD4596" w14:paraId="724C9ECA" w14:textId="77777777">
        <w:trPr>
          <w:cantSplit/>
          <w:jc w:val="center"/>
        </w:trPr>
        <w:tc>
          <w:tcPr>
            <w:tcW w:w="1900" w:type="dxa"/>
          </w:tcPr>
          <w:p w14:paraId="2BBD8023" w14:textId="77777777" w:rsidR="00CD4596" w:rsidRDefault="00000000">
            <w:pPr>
              <w:pStyle w:val="TableText"/>
            </w:pPr>
            <w:r>
              <w:rPr>
                <w:b/>
                <w:color w:val="075A2C"/>
              </w:rPr>
              <w:t>What creates wealth?</w:t>
            </w:r>
          </w:p>
        </w:tc>
        <w:tc>
          <w:tcPr>
            <w:tcW w:w="4300" w:type="dxa"/>
          </w:tcPr>
          <w:p w14:paraId="1FE98513" w14:textId="77777777" w:rsidR="00CD4596" w:rsidRDefault="00000000">
            <w:pPr>
              <w:pStyle w:val="TableText"/>
            </w:pPr>
            <w:r>
              <w:t>Sustained capability to produce useful goods and services efficiently, not money creation by itself.</w:t>
            </w:r>
          </w:p>
        </w:tc>
        <w:tc>
          <w:tcPr>
            <w:tcW w:w="3160" w:type="dxa"/>
          </w:tcPr>
          <w:p w14:paraId="5CA2F2E2" w14:textId="77777777" w:rsidR="00CD4596" w:rsidRDefault="00000000">
            <w:pPr>
              <w:pStyle w:val="TableText"/>
            </w:pPr>
            <w:r>
              <w:t>Productivity, quality, capacity use, domestic value added, exports, real incomes.</w:t>
            </w:r>
          </w:p>
        </w:tc>
      </w:tr>
      <w:tr w:rsidR="00CD4596" w14:paraId="7E493174" w14:textId="77777777">
        <w:trPr>
          <w:cantSplit/>
          <w:jc w:val="center"/>
        </w:trPr>
        <w:tc>
          <w:tcPr>
            <w:tcW w:w="1900" w:type="dxa"/>
            <w:shd w:val="clear" w:color="auto" w:fill="F3F5F4"/>
          </w:tcPr>
          <w:p w14:paraId="0074B1A9" w14:textId="77777777" w:rsidR="00CD4596" w:rsidRDefault="00000000">
            <w:pPr>
              <w:pStyle w:val="TableText"/>
            </w:pPr>
            <w:r>
              <w:rPr>
                <w:b/>
                <w:color w:val="075A2C"/>
              </w:rPr>
              <w:t>What is the unit of analysis?</w:t>
            </w:r>
          </w:p>
        </w:tc>
        <w:tc>
          <w:tcPr>
            <w:tcW w:w="4300" w:type="dxa"/>
            <w:shd w:val="clear" w:color="auto" w:fill="F3F5F4"/>
          </w:tcPr>
          <w:p w14:paraId="17D040B1" w14:textId="77777777" w:rsidR="00CD4596" w:rsidRDefault="00000000">
            <w:pPr>
              <w:pStyle w:val="TableText"/>
            </w:pPr>
            <w:r>
              <w:t>A place-based productive system: firms, households, infrastructure, institutions and connected value chains.</w:t>
            </w:r>
          </w:p>
        </w:tc>
        <w:tc>
          <w:tcPr>
            <w:tcW w:w="3160" w:type="dxa"/>
            <w:shd w:val="clear" w:color="auto" w:fill="F3F5F4"/>
          </w:tcPr>
          <w:p w14:paraId="2B4E84CB" w14:textId="77777777" w:rsidR="00CD4596" w:rsidRDefault="00000000">
            <w:pPr>
              <w:pStyle w:val="TableText"/>
            </w:pPr>
            <w:r>
              <w:t>Spatial data, input-output relations, infrastructure performance, firm and household data.</w:t>
            </w:r>
          </w:p>
        </w:tc>
      </w:tr>
      <w:tr w:rsidR="00CD4596" w14:paraId="25FF9992" w14:textId="77777777">
        <w:trPr>
          <w:cantSplit/>
          <w:jc w:val="center"/>
        </w:trPr>
        <w:tc>
          <w:tcPr>
            <w:tcW w:w="1900" w:type="dxa"/>
          </w:tcPr>
          <w:p w14:paraId="58FB1F32" w14:textId="77777777" w:rsidR="00CD4596" w:rsidRDefault="00000000">
            <w:pPr>
              <w:pStyle w:val="TableText"/>
            </w:pPr>
            <w:r>
              <w:rPr>
                <w:b/>
                <w:color w:val="075A2C"/>
              </w:rPr>
              <w:t>What is the role of the state?</w:t>
            </w:r>
          </w:p>
        </w:tc>
        <w:tc>
          <w:tcPr>
            <w:tcW w:w="4300" w:type="dxa"/>
          </w:tcPr>
          <w:p w14:paraId="34E8A08C" w14:textId="77777777" w:rsidR="00CD4596" w:rsidRDefault="00000000">
            <w:pPr>
              <w:pStyle w:val="TableText"/>
            </w:pPr>
            <w:r>
              <w:t>Set rules, provide public goods, correct coordination failures, build capability and withdraw or redesign support that fails.</w:t>
            </w:r>
          </w:p>
        </w:tc>
        <w:tc>
          <w:tcPr>
            <w:tcW w:w="3160" w:type="dxa"/>
          </w:tcPr>
          <w:p w14:paraId="5B63FD77" w14:textId="77777777" w:rsidR="00CD4596" w:rsidRDefault="00000000">
            <w:pPr>
              <w:pStyle w:val="TableText"/>
            </w:pPr>
            <w:r>
              <w:t>Transparent objectives, milestones, evaluation, sunset clauses and fiscal limits.</w:t>
            </w:r>
          </w:p>
        </w:tc>
      </w:tr>
      <w:tr w:rsidR="00CD4596" w14:paraId="3BFF86C6" w14:textId="77777777">
        <w:trPr>
          <w:cantSplit/>
          <w:jc w:val="center"/>
        </w:trPr>
        <w:tc>
          <w:tcPr>
            <w:tcW w:w="1900" w:type="dxa"/>
            <w:shd w:val="clear" w:color="auto" w:fill="F3F5F4"/>
          </w:tcPr>
          <w:p w14:paraId="59B339A0" w14:textId="77777777" w:rsidR="00CD4596" w:rsidRDefault="00000000">
            <w:pPr>
              <w:pStyle w:val="TableText"/>
            </w:pPr>
            <w:r>
              <w:rPr>
                <w:b/>
                <w:color w:val="075A2C"/>
              </w:rPr>
              <w:t>What is the role of business?</w:t>
            </w:r>
          </w:p>
        </w:tc>
        <w:tc>
          <w:tcPr>
            <w:tcW w:w="4300" w:type="dxa"/>
            <w:shd w:val="clear" w:color="auto" w:fill="F3F5F4"/>
          </w:tcPr>
          <w:p w14:paraId="4BB682D2" w14:textId="77777777" w:rsidR="00CD4596" w:rsidRDefault="00000000">
            <w:pPr>
              <w:pStyle w:val="TableText"/>
            </w:pPr>
            <w:r>
              <w:t>Discover demand, invest, innovate, operate assets, organize supply chains and compete.</w:t>
            </w:r>
          </w:p>
        </w:tc>
        <w:tc>
          <w:tcPr>
            <w:tcW w:w="3160" w:type="dxa"/>
            <w:shd w:val="clear" w:color="auto" w:fill="F3F5F4"/>
          </w:tcPr>
          <w:p w14:paraId="33C58802" w14:textId="77777777" w:rsidR="00CD4596" w:rsidRDefault="00000000">
            <w:pPr>
              <w:pStyle w:val="TableText"/>
            </w:pPr>
            <w:r>
              <w:t>Commercial feasibility, governance, customer evidence, returns and risk allocation.</w:t>
            </w:r>
          </w:p>
        </w:tc>
      </w:tr>
      <w:tr w:rsidR="00CD4596" w14:paraId="6F9C8BB3" w14:textId="77777777">
        <w:trPr>
          <w:cantSplit/>
          <w:jc w:val="center"/>
        </w:trPr>
        <w:tc>
          <w:tcPr>
            <w:tcW w:w="1900" w:type="dxa"/>
          </w:tcPr>
          <w:p w14:paraId="54E22FCC" w14:textId="77777777" w:rsidR="00CD4596" w:rsidRDefault="00000000">
            <w:pPr>
              <w:pStyle w:val="TableText"/>
            </w:pPr>
            <w:r>
              <w:rPr>
                <w:b/>
                <w:color w:val="075A2C"/>
              </w:rPr>
              <w:t>What is the role of Youth?</w:t>
            </w:r>
          </w:p>
        </w:tc>
        <w:tc>
          <w:tcPr>
            <w:tcW w:w="4300" w:type="dxa"/>
          </w:tcPr>
          <w:p w14:paraId="04508519" w14:textId="77777777" w:rsidR="00CD4596" w:rsidRDefault="00000000">
            <w:pPr>
              <w:pStyle w:val="TableText"/>
            </w:pPr>
            <w:r>
              <w:t>Act as a stewardship-oriented economic R&amp;D integrator linking specialists, capital and public purpose.</w:t>
            </w:r>
          </w:p>
        </w:tc>
        <w:tc>
          <w:tcPr>
            <w:tcW w:w="3160" w:type="dxa"/>
          </w:tcPr>
          <w:p w14:paraId="200EB759" w14:textId="77777777" w:rsidR="00CD4596" w:rsidRDefault="00000000">
            <w:pPr>
              <w:pStyle w:val="TableText"/>
            </w:pPr>
            <w:r>
              <w:t>Defined mandates, independent review, conflicts policy, project-level metrics and accountability.</w:t>
            </w:r>
          </w:p>
        </w:tc>
      </w:tr>
    </w:tbl>
    <w:p w14:paraId="63A83EF9" w14:textId="7E4C66CD" w:rsidR="00CD4596" w:rsidRDefault="00000000">
      <w:pPr>
        <w:pStyle w:val="Heading2"/>
      </w:pPr>
      <w:r>
        <w:t xml:space="preserve">Why a new </w:t>
      </w:r>
      <w:r w:rsidR="008C2499">
        <w:t>field</w:t>
      </w:r>
      <w:r>
        <w:t xml:space="preserve"> can be useful</w:t>
      </w:r>
    </w:p>
    <w:p w14:paraId="4884B47E" w14:textId="1C74F2A2" w:rsidR="00CD4596" w:rsidRDefault="00000000">
      <w:pPr>
        <w:pStyle w:val="BodyText"/>
      </w:pPr>
      <w:r>
        <w:t xml:space="preserve">Many parts of this framework already exist in development economics, industrial economics, regional science, economic geography, </w:t>
      </w:r>
      <w:r w:rsidR="00A0315B">
        <w:t xml:space="preserve">business administration, </w:t>
      </w:r>
      <w:r>
        <w:t>engineering economics, project finance and public administration. The proposed contribution is integration. Commercial Economics gives a cross-disciplinary</w:t>
      </w:r>
      <w:r w:rsidR="00D26823">
        <w:t xml:space="preserve"> and integrated</w:t>
      </w:r>
      <w:r>
        <w:t xml:space="preserve"> </w:t>
      </w:r>
      <w:r w:rsidR="00D26823">
        <w:t>team and economists concerned with development</w:t>
      </w:r>
      <w:r>
        <w:t xml:space="preserve"> one vocabulary and one workflow for moving from a regional problem to an investable, measurable portfolio. Its originality should therefore be judged by the quality of that integration and the evidence it produces—not by claiming that earlier fields did not exist. </w:t>
      </w:r>
      <w:r w:rsidR="00727CAB">
        <w:t xml:space="preserve">The field is a generalist because it </w:t>
      </w:r>
      <w:proofErr w:type="gramStart"/>
      <w:r w:rsidR="00727CAB">
        <w:t>has to</w:t>
      </w:r>
      <w:proofErr w:type="gramEnd"/>
      <w:r w:rsidR="00727CAB">
        <w:t xml:space="preserve"> </w:t>
      </w:r>
      <w:proofErr w:type="gramStart"/>
      <w:r w:rsidR="00727CAB">
        <w:t>in order to</w:t>
      </w:r>
      <w:proofErr w:type="gramEnd"/>
      <w:r w:rsidR="00727CAB">
        <w:t xml:space="preserve"> solve </w:t>
      </w:r>
      <w:proofErr w:type="spellStart"/>
      <w:proofErr w:type="gramStart"/>
      <w:r w:rsidR="00727CAB">
        <w:t>it’s</w:t>
      </w:r>
      <w:proofErr w:type="spellEnd"/>
      <w:proofErr w:type="gramEnd"/>
      <w:r w:rsidR="00727CAB">
        <w:t xml:space="preserve"> dilemma of developing economies correctly by integrating other fields and understanding them well. Without it, an economic</w:t>
      </w:r>
      <w:r w:rsidR="00103C7C">
        <w:t xml:space="preserve"> and business</w:t>
      </w:r>
      <w:r w:rsidR="00727CAB">
        <w:t xml:space="preserve"> project cannot be designed well. </w:t>
      </w:r>
      <w:hyperlink r:id="rId16">
        <w:r w:rsidR="00CD4596">
          <w:rPr>
            <w:color w:val="075A2C"/>
            <w:sz w:val="15"/>
            <w:vertAlign w:val="superscript"/>
          </w:rPr>
          <w:t>[13]</w:t>
        </w:r>
      </w:hyperlink>
      <w:r>
        <w:t xml:space="preserve"> </w:t>
      </w:r>
      <w:hyperlink r:id="rId17">
        <w:r w:rsidR="00CD4596">
          <w:rPr>
            <w:color w:val="075A2C"/>
            <w:sz w:val="15"/>
            <w:vertAlign w:val="superscript"/>
          </w:rPr>
          <w:t>[14]</w:t>
        </w:r>
      </w:hyperlink>
      <w:r>
        <w:t xml:space="preserve"> </w:t>
      </w:r>
      <w:hyperlink r:id="rId18">
        <w:r w:rsidR="00CD4596">
          <w:rPr>
            <w:color w:val="075A2C"/>
            <w:sz w:val="15"/>
            <w:vertAlign w:val="superscript"/>
          </w:rPr>
          <w:t>[19]</w:t>
        </w:r>
      </w:hyperlink>
    </w:p>
    <w:p w14:paraId="260D1E0A" w14:textId="77777777" w:rsidR="00CD4596" w:rsidRDefault="00000000">
      <w:pPr>
        <w:pStyle w:val="Heading2"/>
      </w:pPr>
      <w:r>
        <w:t>The five commitments</w:t>
      </w:r>
    </w:p>
    <w:p w14:paraId="60463E6C" w14:textId="3FCB5352" w:rsidR="00CD4596" w:rsidRDefault="00000000">
      <w:pPr>
        <w:pStyle w:val="ListBullet"/>
      </w:pPr>
      <w:r>
        <w:t>Physical reality first: every model must connect to resources, constraints, operations and users.</w:t>
      </w:r>
      <w:r w:rsidR="00165ACB">
        <w:t xml:space="preserve"> Achieves economic growth through </w:t>
      </w:r>
      <w:r w:rsidR="0038194E">
        <w:t xml:space="preserve">joint individual (jobs), </w:t>
      </w:r>
      <w:r w:rsidR="00165ACB">
        <w:t>business</w:t>
      </w:r>
      <w:r w:rsidR="0038194E">
        <w:t>es (growth), and government (development)</w:t>
      </w:r>
      <w:r w:rsidR="00165ACB">
        <w:t xml:space="preserve"> success.</w:t>
      </w:r>
    </w:p>
    <w:p w14:paraId="01D59872" w14:textId="7538174F" w:rsidR="00CD4596" w:rsidRDefault="0090179C">
      <w:pPr>
        <w:pStyle w:val="ListBullet"/>
      </w:pPr>
      <w:r>
        <w:t xml:space="preserve">Development with purpose: output matters when it improves productivity, </w:t>
      </w:r>
      <w:r w:rsidR="007A42B8">
        <w:t>creates new industries, improves economic output, provides good living conditions and local economy</w:t>
      </w:r>
      <w:r>
        <w:t>, access</w:t>
      </w:r>
      <w:r w:rsidR="007A42B8">
        <w:t xml:space="preserve"> to well-paying or high benefits jobs and opportunities</w:t>
      </w:r>
      <w:r w:rsidR="000977AF">
        <w:t>.</w:t>
      </w:r>
    </w:p>
    <w:p w14:paraId="7A45ED68" w14:textId="77777777" w:rsidR="00CD4596" w:rsidRDefault="00000000">
      <w:pPr>
        <w:pStyle w:val="ListBullet"/>
      </w:pPr>
      <w:r>
        <w:t>Markets plus capable institutions: firms discover and operate; public institutions establish rules, public goods and coordination.</w:t>
      </w:r>
    </w:p>
    <w:p w14:paraId="67B19E20" w14:textId="68479CEF" w:rsidR="00CD4596" w:rsidRDefault="000977AF">
      <w:pPr>
        <w:pStyle w:val="ListBullet"/>
      </w:pPr>
      <w:r>
        <w:t xml:space="preserve">Mixed Financing Development: Commercial Economics applied by the state relies on mixed financing and joint development with private sector, neither should act alone, but both work together. For government projects; domestic debt, safe foreign debt, domestic investment, foreign investment, pre-development financing (guaranteed demand through contracts or deposits), export focus, </w:t>
      </w:r>
      <w:r w:rsidR="00F37AB3">
        <w:t>treasury</w:t>
      </w:r>
      <w:r>
        <w:t xml:space="preserve">, etc. </w:t>
      </w:r>
      <w:r w:rsidR="00F37AB3">
        <w:t>This guarantees that this effort will not cause any inflation</w:t>
      </w:r>
      <w:r w:rsidR="00165ACB">
        <w:t xml:space="preserve"> or negative economic impact</w:t>
      </w:r>
      <w:r w:rsidR="00F37AB3">
        <w:t xml:space="preserve">, </w:t>
      </w:r>
      <w:proofErr w:type="gramStart"/>
      <w:r w:rsidR="00F37AB3">
        <w:t>in-fact</w:t>
      </w:r>
      <w:proofErr w:type="gramEnd"/>
      <w:r w:rsidR="00F37AB3">
        <w:t xml:space="preserve"> it would cause </w:t>
      </w:r>
      <w:r w:rsidR="002A6C30">
        <w:t xml:space="preserve">economic </w:t>
      </w:r>
      <w:r w:rsidR="00F37AB3">
        <w:t xml:space="preserve">growth due to availability of contracts, projects, economic </w:t>
      </w:r>
      <w:proofErr w:type="spellStart"/>
      <w:r w:rsidR="00F37AB3">
        <w:t>oppurtunities</w:t>
      </w:r>
      <w:proofErr w:type="spellEnd"/>
      <w:r w:rsidR="00F37AB3">
        <w:t>, jobs, and more.</w:t>
      </w:r>
    </w:p>
    <w:p w14:paraId="240C1F66" w14:textId="77777777" w:rsidR="00CD4596" w:rsidRDefault="00000000">
      <w:pPr>
        <w:pStyle w:val="ListBullet"/>
      </w:pPr>
      <w:r>
        <w:t>Test before scale: start with hypotheses, pilots, measurable milestones and independent evaluation.</w:t>
      </w:r>
    </w:p>
    <w:p w14:paraId="001D4381" w14:textId="77777777" w:rsidR="00CD4596" w:rsidRDefault="00000000">
      <w:pPr>
        <w:pStyle w:val="Heading2"/>
      </w:pPr>
      <w:r>
        <w:lastRenderedPageBreak/>
        <w:t>What this paper does not claim</w:t>
      </w:r>
    </w:p>
    <w:p w14:paraId="7DB36F38" w14:textId="7BEC6459" w:rsidR="00CD4596" w:rsidRDefault="00000000">
      <w:pPr>
        <w:pStyle w:val="BodyText"/>
      </w:pPr>
      <w:r>
        <w:t xml:space="preserve">Commercial Economics </w:t>
      </w:r>
      <w:r w:rsidR="00BB32FA">
        <w:t xml:space="preserve">can be used as a framework for economic development in distant regions that Youth aims to prototype in the New Delta through </w:t>
      </w:r>
      <w:proofErr w:type="spellStart"/>
      <w:proofErr w:type="gramStart"/>
      <w:r w:rsidR="00BB32FA">
        <w:t>it’s</w:t>
      </w:r>
      <w:proofErr w:type="spellEnd"/>
      <w:proofErr w:type="gramEnd"/>
      <w:r w:rsidR="00BB32FA">
        <w:t xml:space="preserve"> voluntary government acceptance of ideas and private sector initiatives that Youth offers through its platforms, allowing existing Egyptian businesses to take part in economic development and business development thro</w:t>
      </w:r>
      <w:r w:rsidR="00A42092">
        <w:t>ugh Youth research economic ideas and studies</w:t>
      </w:r>
      <w:r w:rsidR="00BB32FA">
        <w:t xml:space="preserve">. </w:t>
      </w:r>
      <w:r>
        <w:t>It does not promise that local production is always cheaper, that manufacturing is always superior to services, that every infrastructure project creates growth, or that government guidance is automatically competent. It is not autarky, central planning, an anti-market doctrine or a rejection of macroeconomic stabilization. It is a framework for making those choices more explicit and testable.</w:t>
      </w:r>
      <w:r w:rsidR="00F12B78">
        <w:t xml:space="preserve"> It promises one thing; to create something physical and leave it behind whether it’s a town, a building, a new business or production line, a new venture, a new job, or a new family living in the New Delta or other projects around Egypt</w:t>
      </w:r>
      <w:r w:rsidR="004A6274">
        <w:t xml:space="preserve"> with the model being applicable elsewhere in the world for economic </w:t>
      </w:r>
      <w:r w:rsidR="00E256DC">
        <w:t>and business development.</w:t>
      </w:r>
    </w:p>
    <w:p w14:paraId="67BEC2DC" w14:textId="77777777" w:rsidR="00CD4596" w:rsidRDefault="00000000">
      <w:pPr>
        <w:pStyle w:val="Heading1"/>
        <w:pageBreakBefore/>
        <w:pBdr>
          <w:bottom w:val="single" w:sz="6" w:space="6" w:color="CFE5D7"/>
        </w:pBdr>
      </w:pPr>
      <w:proofErr w:type="gramStart"/>
      <w:r>
        <w:rPr>
          <w:color w:val="2F7D52"/>
        </w:rPr>
        <w:lastRenderedPageBreak/>
        <w:t xml:space="preserve">01  </w:t>
      </w:r>
      <w:r>
        <w:t>A</w:t>
      </w:r>
      <w:proofErr w:type="gramEnd"/>
      <w:r>
        <w:t xml:space="preserve"> field built around production</w:t>
      </w:r>
    </w:p>
    <w:p w14:paraId="1C466264" w14:textId="77777777" w:rsidR="00CD4596" w:rsidRDefault="00000000">
      <w:pPr>
        <w:pStyle w:val="ChapterSubtitle"/>
      </w:pPr>
      <w:r>
        <w:t>The proposed field links economic reasoning to the design and operation of real productive systems.</w:t>
      </w:r>
    </w:p>
    <w:p w14:paraId="53396274" w14:textId="77777777" w:rsidR="00CD4596" w:rsidRDefault="00000000">
      <w:pPr>
        <w:pStyle w:val="Heading2"/>
      </w:pPr>
      <w:proofErr w:type="gramStart"/>
      <w:r>
        <w:t>1.1  Definition</w:t>
      </w:r>
      <w:proofErr w:type="gramEnd"/>
      <w:r>
        <w:t xml:space="preserve"> and scope</w:t>
      </w:r>
    </w:p>
    <w:p w14:paraId="5B82EAF5" w14:textId="33E854C1" w:rsidR="00CD4596" w:rsidRDefault="00000000">
      <w:pPr>
        <w:pStyle w:val="BodyText"/>
      </w:pPr>
      <w:r>
        <w:t>Economics studies how people and institutions allocate scarce resources. Commercial Economics adopts that foundation and narrows its practical focus: how a place builds and coordinates the capabilities needed to produce and deliver useful goods and services. It includes agriculture, extraction, processing, manufacturing, construction, logistics and trade, but also the services without which production fails—energy, water, finance, healthcare, education, law, administration, safety and research.</w:t>
      </w:r>
      <w:r w:rsidR="006979FB">
        <w:t xml:space="preserve"> It seeks to create more resources to have the ability to allocate m</w:t>
      </w:r>
    </w:p>
    <w:p w14:paraId="1FBF2AAD" w14:textId="77777777" w:rsidR="006979FB" w:rsidRDefault="006979FB">
      <w:pPr>
        <w:pStyle w:val="BodyText"/>
      </w:pPr>
    </w:p>
    <w:p w14:paraId="487CABA5" w14:textId="18E25A09" w:rsidR="00CD4596" w:rsidRDefault="00000000">
      <w:pPr>
        <w:pStyle w:val="BodyText"/>
      </w:pPr>
      <w:r>
        <w:t xml:space="preserve">The field is generalist by design. A commercial economist is not expected to replace an agronomist, engineer, physician, architect, lawyer or financial specialist. The role is to frame the system, identify dependencies, ask the cross-sector questions, </w:t>
      </w:r>
      <w:r w:rsidR="006979FB">
        <w:t xml:space="preserve">creating coordination or development </w:t>
      </w:r>
      <w:r w:rsidR="00316DE6">
        <w:t xml:space="preserve">or joint investment </w:t>
      </w:r>
      <w:r w:rsidR="006979FB">
        <w:t xml:space="preserve">programs, enabling independent research &amp; development alongside professionals in economic sectors. </w:t>
      </w:r>
      <w:r>
        <w:t>A hospital example is useful: the commercial economist does not perform surgery, but must understand enough about staffing, utilities, equipment, regulation, patient flows, procurement and finance to determine whether the hospital can function</w:t>
      </w:r>
      <w:r w:rsidR="00BD4503">
        <w:t xml:space="preserve"> or improve upon </w:t>
      </w:r>
      <w:proofErr w:type="spellStart"/>
      <w:r w:rsidR="00BD4503">
        <w:t>it’s</w:t>
      </w:r>
      <w:proofErr w:type="spellEnd"/>
      <w:r w:rsidR="00BD4503">
        <w:t xml:space="preserve"> traditional functioning by integrating other concepts from economic fields such as creating construction standards that improve the building’s operations such as a basement for research and development or </w:t>
      </w:r>
      <w:r w:rsidR="006A23FF">
        <w:t>ensuring that hospital’s services fit the population size in town, analysis of hospitals in region, ambulance presence and reach, and more</w:t>
      </w:r>
      <w:r w:rsidR="00BD4503">
        <w:t xml:space="preserve">.  </w:t>
      </w:r>
    </w:p>
    <w:p w14:paraId="5EEF3F25" w14:textId="77777777" w:rsidR="00BD4503" w:rsidRDefault="00BD4503">
      <w:pPr>
        <w:pStyle w:val="BodyText"/>
      </w:pPr>
    </w:p>
    <w:p w14:paraId="71D1AF55" w14:textId="7C70DAFC" w:rsidR="00CD4596" w:rsidRDefault="00000000">
      <w:pPr>
        <w:pStyle w:val="Heading2"/>
      </w:pPr>
      <w:proofErr w:type="gramStart"/>
      <w:r>
        <w:t>1.2  The</w:t>
      </w:r>
      <w:proofErr w:type="gramEnd"/>
      <w:r>
        <w:t xml:space="preserve"> </w:t>
      </w:r>
      <w:r w:rsidR="003D316E">
        <w:t>physical</w:t>
      </w:r>
      <w:r>
        <w:t>-based unit of analysis</w:t>
      </w:r>
    </w:p>
    <w:p w14:paraId="14403A48" w14:textId="5B614B2E" w:rsidR="00CD4596" w:rsidRDefault="00000000">
      <w:pPr>
        <w:pStyle w:val="BodyText"/>
      </w:pPr>
      <w:r>
        <w:t xml:space="preserve">The practical unit of analysis is a productive society in a defined place. This may be a town, industrial area, agricultural corridor, </w:t>
      </w:r>
      <w:r w:rsidR="009917E3">
        <w:t xml:space="preserve">business like factories, shops, or services, </w:t>
      </w:r>
      <w:r>
        <w:t xml:space="preserve">governorate or national program. The analysis covers firms and households together because a factory without workers’ transport and housing may not operate, while housing without jobs becomes a commuting or fiscal burden. </w:t>
      </w:r>
      <w:r w:rsidR="00175EA3">
        <w:t xml:space="preserve">To have housing that is sustainable; it requires commerce, gas stations, public services, and more.  Commercial Economics theorizes that ghost towns fail because they are economically sterile; they lack commerce, services, industry, opportunity, infrastructure, coordination, and more to justify migration while still being affordable. Therefore, commercial economics seeks to create complete and self-sustaining </w:t>
      </w:r>
      <w:r w:rsidR="00AA638F">
        <w:t>towns</w:t>
      </w:r>
      <w:r w:rsidR="00175EA3">
        <w:t xml:space="preserve"> there and to provide mechanisms for actualizing it through business processes. </w:t>
      </w:r>
      <w:r>
        <w:t xml:space="preserve">Modern place-based policy similarly treats productivity, infrastructure, institutions and quality of life as connected variables. </w:t>
      </w:r>
      <w:hyperlink r:id="rId19">
        <w:r w:rsidR="00CD4596">
          <w:rPr>
            <w:color w:val="075A2C"/>
            <w:sz w:val="15"/>
            <w:vertAlign w:val="superscript"/>
          </w:rPr>
          <w:t>[18]</w:t>
        </w:r>
      </w:hyperlink>
      <w:r>
        <w:t xml:space="preserve"> </w:t>
      </w:r>
      <w:hyperlink r:id="rId20">
        <w:r w:rsidR="00CD4596">
          <w:rPr>
            <w:color w:val="075A2C"/>
            <w:sz w:val="15"/>
            <w:vertAlign w:val="superscript"/>
          </w:rPr>
          <w:t>[19]</w:t>
        </w:r>
      </w:hyperlink>
      <w:r>
        <w:t xml:space="preserve"> </w:t>
      </w:r>
      <w:hyperlink r:id="rId21">
        <w:r w:rsidR="00CD4596">
          <w:rPr>
            <w:color w:val="075A2C"/>
            <w:sz w:val="15"/>
            <w:vertAlign w:val="superscript"/>
          </w:rPr>
          <w:t>[24]</w:t>
        </w:r>
      </w:hyperlink>
    </w:p>
    <w:tbl>
      <w:tblPr>
        <w:tblW w:w="9000" w:type="dxa"/>
        <w:jc w:val="center"/>
        <w:tblBorders>
          <w:top w:val="single" w:sz="8" w:space="0" w:color="075A2C"/>
          <w:left w:val="single" w:sz="8" w:space="0" w:color="075A2C"/>
          <w:bottom w:val="single" w:sz="8" w:space="0" w:color="075A2C"/>
          <w:right w:val="single" w:sz="8" w:space="0" w:color="075A2C"/>
          <w:insideH w:val="single" w:sz="8" w:space="0" w:color="075A2C"/>
          <w:insideV w:val="single" w:sz="8" w:space="0" w:color="075A2C"/>
        </w:tblBorders>
        <w:tblLayout w:type="fixed"/>
        <w:tblLook w:val="04A0" w:firstRow="1" w:lastRow="0" w:firstColumn="1" w:lastColumn="0" w:noHBand="0" w:noVBand="1"/>
      </w:tblPr>
      <w:tblGrid>
        <w:gridCol w:w="9000"/>
      </w:tblGrid>
      <w:tr w:rsidR="00CD4596" w14:paraId="378F0928" w14:textId="77777777">
        <w:trPr>
          <w:jc w:val="center"/>
        </w:trPr>
        <w:tc>
          <w:tcPr>
            <w:tcW w:w="9000" w:type="dxa"/>
            <w:shd w:val="clear" w:color="auto" w:fill="EAF4EE"/>
            <w:tcMar>
              <w:top w:w="90" w:type="dxa"/>
              <w:left w:w="100" w:type="dxa"/>
              <w:bottom w:w="90" w:type="dxa"/>
              <w:right w:w="100" w:type="dxa"/>
            </w:tcMar>
            <w:vAlign w:val="center"/>
          </w:tcPr>
          <w:p w14:paraId="7F088CEE" w14:textId="77777777" w:rsidR="00CD4596" w:rsidRDefault="00000000">
            <w:pPr>
              <w:spacing w:after="80"/>
            </w:pPr>
            <w:r>
              <w:rPr>
                <w:b/>
                <w:color w:val="075A2C"/>
                <w:sz w:val="17"/>
              </w:rPr>
              <w:lastRenderedPageBreak/>
              <w:t>A SIMPLE DIAGNOSTIC</w:t>
            </w:r>
          </w:p>
          <w:p w14:paraId="0613902F" w14:textId="228290D7" w:rsidR="00CD4596" w:rsidRDefault="00000000">
            <w:pPr>
              <w:pStyle w:val="Callout"/>
            </w:pPr>
            <w:r>
              <w:t>For any proposed settlement or project, ask: What will people produce? Who will buy it? What inputs and skills are required? Which inputs are domestic and which require foreign exchange? What public systems must work every day? Who owns, operates, regulates and maintains each asset?</w:t>
            </w:r>
            <w:r w:rsidR="00AA638F">
              <w:t xml:space="preserve"> Why </w:t>
            </w:r>
            <w:r w:rsidR="006F1504">
              <w:t>w</w:t>
            </w:r>
            <w:r w:rsidR="00AA638F">
              <w:t>ould someone migrate there?</w:t>
            </w:r>
          </w:p>
        </w:tc>
      </w:tr>
    </w:tbl>
    <w:p w14:paraId="055F1236" w14:textId="77777777" w:rsidR="00CD4596" w:rsidRDefault="00000000">
      <w:pPr>
        <w:pStyle w:val="Heading2"/>
      </w:pPr>
      <w:proofErr w:type="gramStart"/>
      <w:r>
        <w:t>1.3  Physical</w:t>
      </w:r>
      <w:proofErr w:type="gramEnd"/>
      <w:r>
        <w:t xml:space="preserve"> does not mean anti-financial or anti-mathematical</w:t>
      </w:r>
    </w:p>
    <w:p w14:paraId="2B4A4A74" w14:textId="41156785" w:rsidR="00CD4596" w:rsidRDefault="00000000">
      <w:pPr>
        <w:pStyle w:val="BodyText"/>
      </w:pPr>
      <w:r>
        <w:t>Prices, interest rates, exchange rates, balance sheets and expectations affect every physical project. Mathematical models help compare options and reveal trade-offs. The Commercial Economics discipline is to prevent abstraction from becoming detached from operations. A financially profitable project can still fail if water is unavailable, a critical component cannot be imported, demand was overstated</w:t>
      </w:r>
      <w:r w:rsidR="002D2A57">
        <w:t>, infrastructure was not planned properly,</w:t>
      </w:r>
      <w:r>
        <w:t xml:space="preserve"> or maintenance was not funded. Conversely, a valuable public asset can fail fiscally if its operating costs and revenue mechanism are ignored.</w:t>
      </w:r>
    </w:p>
    <w:p w14:paraId="5C171DC1" w14:textId="77777777" w:rsidR="00CD4596" w:rsidRDefault="00000000">
      <w:pPr>
        <w:pStyle w:val="Heading2"/>
      </w:pPr>
      <w:proofErr w:type="gramStart"/>
      <w:r>
        <w:t>1.4  Four</w:t>
      </w:r>
      <w:proofErr w:type="gramEnd"/>
      <w:r>
        <w:t xml:space="preserve"> levels of work</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700"/>
        <w:gridCol w:w="6660"/>
      </w:tblGrid>
      <w:tr w:rsidR="00CD4596" w14:paraId="2208F90C" w14:textId="77777777">
        <w:trPr>
          <w:tblHeader/>
          <w:jc w:val="center"/>
        </w:trPr>
        <w:tc>
          <w:tcPr>
            <w:tcW w:w="2700" w:type="dxa"/>
            <w:shd w:val="clear" w:color="auto" w:fill="075A2C"/>
            <w:tcMar>
              <w:top w:w="90" w:type="dxa"/>
              <w:left w:w="100" w:type="dxa"/>
              <w:bottom w:w="90" w:type="dxa"/>
              <w:right w:w="100" w:type="dxa"/>
            </w:tcMar>
            <w:vAlign w:val="center"/>
          </w:tcPr>
          <w:p w14:paraId="7DDD583D" w14:textId="77777777" w:rsidR="00CD4596" w:rsidRDefault="00000000">
            <w:r>
              <w:rPr>
                <w:b/>
                <w:color w:val="FFFFFF"/>
                <w:sz w:val="18"/>
              </w:rPr>
              <w:t>Level</w:t>
            </w:r>
          </w:p>
        </w:tc>
        <w:tc>
          <w:tcPr>
            <w:tcW w:w="6660" w:type="dxa"/>
            <w:shd w:val="clear" w:color="auto" w:fill="075A2C"/>
            <w:tcMar>
              <w:top w:w="90" w:type="dxa"/>
              <w:left w:w="100" w:type="dxa"/>
              <w:bottom w:w="90" w:type="dxa"/>
              <w:right w:w="100" w:type="dxa"/>
            </w:tcMar>
            <w:vAlign w:val="center"/>
          </w:tcPr>
          <w:p w14:paraId="2F8F2847" w14:textId="77777777" w:rsidR="00CD4596" w:rsidRDefault="00000000">
            <w:r>
              <w:rPr>
                <w:b/>
                <w:color w:val="FFFFFF"/>
                <w:sz w:val="18"/>
              </w:rPr>
              <w:t>Primary question</w:t>
            </w:r>
          </w:p>
        </w:tc>
      </w:tr>
      <w:tr w:rsidR="00CD4596" w14:paraId="1F3245B4" w14:textId="77777777">
        <w:trPr>
          <w:cantSplit/>
          <w:jc w:val="center"/>
        </w:trPr>
        <w:tc>
          <w:tcPr>
            <w:tcW w:w="2700" w:type="dxa"/>
          </w:tcPr>
          <w:p w14:paraId="4D46FF40" w14:textId="77777777" w:rsidR="00CD4596" w:rsidRDefault="00000000">
            <w:pPr>
              <w:pStyle w:val="TableText"/>
            </w:pPr>
            <w:r>
              <w:rPr>
                <w:b/>
                <w:color w:val="075A2C"/>
              </w:rPr>
              <w:t>System</w:t>
            </w:r>
          </w:p>
        </w:tc>
        <w:tc>
          <w:tcPr>
            <w:tcW w:w="6660" w:type="dxa"/>
          </w:tcPr>
          <w:p w14:paraId="37BB1570" w14:textId="77777777" w:rsidR="00CD4596" w:rsidRDefault="00000000">
            <w:pPr>
              <w:pStyle w:val="TableText"/>
            </w:pPr>
            <w:r>
              <w:t>The region or economy: its resource base, institutions, infrastructure, population and external relationships.</w:t>
            </w:r>
          </w:p>
        </w:tc>
      </w:tr>
      <w:tr w:rsidR="00CD4596" w14:paraId="12D41B1F" w14:textId="77777777">
        <w:trPr>
          <w:cantSplit/>
          <w:jc w:val="center"/>
        </w:trPr>
        <w:tc>
          <w:tcPr>
            <w:tcW w:w="2700" w:type="dxa"/>
            <w:shd w:val="clear" w:color="auto" w:fill="F3F5F4"/>
          </w:tcPr>
          <w:p w14:paraId="66A8BFF6" w14:textId="77777777" w:rsidR="00CD4596" w:rsidRDefault="00000000">
            <w:pPr>
              <w:pStyle w:val="TableText"/>
            </w:pPr>
            <w:r>
              <w:rPr>
                <w:b/>
                <w:color w:val="075A2C"/>
              </w:rPr>
              <w:t>Portfolio</w:t>
            </w:r>
          </w:p>
        </w:tc>
        <w:tc>
          <w:tcPr>
            <w:tcW w:w="6660" w:type="dxa"/>
            <w:shd w:val="clear" w:color="auto" w:fill="F3F5F4"/>
          </w:tcPr>
          <w:p w14:paraId="72D93BB2" w14:textId="77777777" w:rsidR="00CD4596" w:rsidRDefault="00000000">
            <w:pPr>
              <w:pStyle w:val="TableText"/>
            </w:pPr>
            <w:r>
              <w:t>A coordinated group of projects whose outputs and inputs reinforce one another.</w:t>
            </w:r>
          </w:p>
        </w:tc>
      </w:tr>
      <w:tr w:rsidR="00CD4596" w14:paraId="175C7ECD" w14:textId="77777777">
        <w:trPr>
          <w:cantSplit/>
          <w:jc w:val="center"/>
        </w:trPr>
        <w:tc>
          <w:tcPr>
            <w:tcW w:w="2700" w:type="dxa"/>
          </w:tcPr>
          <w:p w14:paraId="6E2126B0" w14:textId="77777777" w:rsidR="00CD4596" w:rsidRDefault="00000000">
            <w:pPr>
              <w:pStyle w:val="TableText"/>
            </w:pPr>
            <w:r>
              <w:rPr>
                <w:b/>
                <w:color w:val="075A2C"/>
              </w:rPr>
              <w:t>Project</w:t>
            </w:r>
          </w:p>
        </w:tc>
        <w:tc>
          <w:tcPr>
            <w:tcW w:w="6660" w:type="dxa"/>
          </w:tcPr>
          <w:p w14:paraId="08D61125" w14:textId="77777777" w:rsidR="00CD4596" w:rsidRDefault="00000000">
            <w:pPr>
              <w:pStyle w:val="TableText"/>
            </w:pPr>
            <w:r>
              <w:t>A defined asset, service or enterprise with a delivery model, cash flow, risk allocation and impact case.</w:t>
            </w:r>
          </w:p>
        </w:tc>
      </w:tr>
      <w:tr w:rsidR="00CD4596" w14:paraId="351AE24A" w14:textId="77777777">
        <w:trPr>
          <w:cantSplit/>
          <w:jc w:val="center"/>
        </w:trPr>
        <w:tc>
          <w:tcPr>
            <w:tcW w:w="2700" w:type="dxa"/>
            <w:shd w:val="clear" w:color="auto" w:fill="F3F5F4"/>
          </w:tcPr>
          <w:p w14:paraId="52794774" w14:textId="77777777" w:rsidR="00CD4596" w:rsidRDefault="00000000">
            <w:pPr>
              <w:pStyle w:val="TableText"/>
            </w:pPr>
            <w:r>
              <w:rPr>
                <w:b/>
                <w:color w:val="075A2C"/>
              </w:rPr>
              <w:t>Operation</w:t>
            </w:r>
          </w:p>
        </w:tc>
        <w:tc>
          <w:tcPr>
            <w:tcW w:w="6660" w:type="dxa"/>
            <w:shd w:val="clear" w:color="auto" w:fill="F3F5F4"/>
          </w:tcPr>
          <w:p w14:paraId="11B703D6" w14:textId="77777777" w:rsidR="00CD4596" w:rsidRDefault="00000000">
            <w:pPr>
              <w:pStyle w:val="TableText"/>
            </w:pPr>
            <w:r>
              <w:t>The daily processes, skills, maintenance, standards and data that turn an asset into reliable output.</w:t>
            </w:r>
          </w:p>
        </w:tc>
      </w:tr>
    </w:tbl>
    <w:p w14:paraId="6367F78A" w14:textId="77777777" w:rsidR="00CD4596" w:rsidRDefault="00000000">
      <w:pPr>
        <w:pStyle w:val="Heading2"/>
      </w:pPr>
      <w:proofErr w:type="gramStart"/>
      <w:r>
        <w:t>1.5  Scientific</w:t>
      </w:r>
      <w:proofErr w:type="gramEnd"/>
      <w:r>
        <w:t xml:space="preserve"> posture</w:t>
      </w:r>
    </w:p>
    <w:p w14:paraId="26904DFD" w14:textId="77777777" w:rsidR="00CD4596" w:rsidRDefault="00000000">
      <w:pPr>
        <w:pStyle w:val="BodyText"/>
      </w:pPr>
      <w:r>
        <w:t xml:space="preserve">A school of thought becomes useful when its concepts can be defined, measured, challenged and improved. Youth therefore </w:t>
      </w:r>
      <w:proofErr w:type="gramStart"/>
      <w:r>
        <w:t>treats</w:t>
      </w:r>
      <w:proofErr w:type="gramEnd"/>
      <w:r>
        <w:t xml:space="preserve"> Commercial Economics as an R&amp;D program. OECD guidance defines research and experimental development as systematic creative work undertaken to increase knowledge and devise new applications. Commercial economic R&amp;D should follow the same spirit: document assumptions, compare alternatives, test pilots, report failures and make results reproducible where commercial confidentiality permits. </w:t>
      </w:r>
      <w:hyperlink r:id="rId22">
        <w:r w:rsidR="00CD4596">
          <w:rPr>
            <w:color w:val="075A2C"/>
            <w:sz w:val="15"/>
            <w:vertAlign w:val="superscript"/>
          </w:rPr>
          <w:t>[21]</w:t>
        </w:r>
      </w:hyperlink>
    </w:p>
    <w:p w14:paraId="090CA91F" w14:textId="77777777" w:rsidR="00CD4596" w:rsidRDefault="00000000">
      <w:pPr>
        <w:pStyle w:val="ListBullet"/>
      </w:pPr>
      <w:r>
        <w:t>Definitions must specify what is included and excluded.</w:t>
      </w:r>
    </w:p>
    <w:p w14:paraId="45C0C54E" w14:textId="77777777" w:rsidR="00CD4596" w:rsidRDefault="00000000">
      <w:pPr>
        <w:pStyle w:val="ListBullet"/>
      </w:pPr>
      <w:r>
        <w:t>Causal claims must be distinguished from descriptions and historical analogies.</w:t>
      </w:r>
    </w:p>
    <w:p w14:paraId="0F5E2046" w14:textId="77777777" w:rsidR="00CD4596" w:rsidRDefault="00000000">
      <w:pPr>
        <w:pStyle w:val="ListBullet"/>
      </w:pPr>
      <w:r>
        <w:t>A theory should state what evidence would support or weaken it.</w:t>
      </w:r>
    </w:p>
    <w:p w14:paraId="2908D63A" w14:textId="77777777" w:rsidR="00CD4596" w:rsidRDefault="00000000">
      <w:pPr>
        <w:pStyle w:val="ListBullet"/>
      </w:pPr>
      <w:r>
        <w:t>A project should have a baseline, targets, data owners and an evaluation date.</w:t>
      </w:r>
    </w:p>
    <w:p w14:paraId="530F3CC5" w14:textId="77777777" w:rsidR="00CD4596" w:rsidRDefault="00000000">
      <w:pPr>
        <w:pStyle w:val="ListBullet"/>
      </w:pPr>
      <w:r>
        <w:t>Results should be reviewed by specialists independent of the project’s promoter.</w:t>
      </w:r>
    </w:p>
    <w:p w14:paraId="0A9B3945" w14:textId="77777777" w:rsidR="00CD4596" w:rsidRDefault="00000000">
      <w:pPr>
        <w:pStyle w:val="Heading1"/>
        <w:pageBreakBefore/>
        <w:pBdr>
          <w:bottom w:val="single" w:sz="6" w:space="6" w:color="CFE5D7"/>
        </w:pBdr>
      </w:pPr>
      <w:proofErr w:type="gramStart"/>
      <w:r>
        <w:rPr>
          <w:color w:val="2F7D52"/>
        </w:rPr>
        <w:lastRenderedPageBreak/>
        <w:t xml:space="preserve">02  </w:t>
      </w:r>
      <w:r>
        <w:t>Intellectual</w:t>
      </w:r>
      <w:proofErr w:type="gramEnd"/>
      <w:r>
        <w:t xml:space="preserve"> origins and lessons</w:t>
      </w:r>
    </w:p>
    <w:p w14:paraId="7FF0CE86" w14:textId="77777777" w:rsidR="00CD4596" w:rsidRDefault="00000000">
      <w:pPr>
        <w:pStyle w:val="ChapterSubtitle"/>
      </w:pPr>
      <w:r>
        <w:t>History provides design principles and warnings; it does not supply a template that can simply be copied.</w:t>
      </w:r>
    </w:p>
    <w:p w14:paraId="542FEF4D" w14:textId="77777777" w:rsidR="00CD4596" w:rsidRDefault="00000000">
      <w:pPr>
        <w:pStyle w:val="BodyText"/>
      </w:pPr>
      <w:r>
        <w:t xml:space="preserve">Youth Technologies developed the integrated Commercial Economics framework from scratch for a specific Egyptian question. It nevertheless stands on a large body of prior thought and experience. Hamilton argued </w:t>
      </w:r>
      <w:proofErr w:type="gramStart"/>
      <w:r>
        <w:t>for</w:t>
      </w:r>
      <w:proofErr w:type="gramEnd"/>
      <w:r>
        <w:t xml:space="preserve"> developing productive capability and manufactures in a young economy. List emphasized national productive powers, learning and infrastructure. Later industrializers used different combinations of state capacity, markets, trade, finance, education and technology acquisition. </w:t>
      </w:r>
      <w:hyperlink r:id="rId23">
        <w:r w:rsidR="00CD4596">
          <w:rPr>
            <w:color w:val="075A2C"/>
            <w:sz w:val="15"/>
            <w:vertAlign w:val="superscript"/>
          </w:rPr>
          <w:t>[1]</w:t>
        </w:r>
      </w:hyperlink>
      <w:r>
        <w:t xml:space="preserve"> </w:t>
      </w:r>
      <w:hyperlink r:id="rId24">
        <w:r w:rsidR="00CD4596">
          <w:rPr>
            <w:color w:val="075A2C"/>
            <w:sz w:val="15"/>
            <w:vertAlign w:val="superscript"/>
          </w:rPr>
          <w:t>[2]</w:t>
        </w:r>
      </w:hyperlink>
    </w:p>
    <w:p w14:paraId="4DFC4A4B" w14:textId="77777777" w:rsidR="00CD4596" w:rsidRDefault="00000000">
      <w:pPr>
        <w:pStyle w:val="Heading2"/>
      </w:pPr>
      <w:proofErr w:type="gramStart"/>
      <w:r>
        <w:t>2.1  A</w:t>
      </w:r>
      <w:proofErr w:type="gramEnd"/>
      <w:r>
        <w:t xml:space="preserve"> comparative reading</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400"/>
        <w:gridCol w:w="3900"/>
        <w:gridCol w:w="3060"/>
      </w:tblGrid>
      <w:tr w:rsidR="00CD4596" w14:paraId="42A57A73" w14:textId="77777777">
        <w:trPr>
          <w:tblHeader/>
          <w:jc w:val="center"/>
        </w:trPr>
        <w:tc>
          <w:tcPr>
            <w:tcW w:w="2400" w:type="dxa"/>
            <w:shd w:val="clear" w:color="auto" w:fill="075A2C"/>
            <w:tcMar>
              <w:top w:w="90" w:type="dxa"/>
              <w:left w:w="100" w:type="dxa"/>
              <w:bottom w:w="90" w:type="dxa"/>
              <w:right w:w="100" w:type="dxa"/>
            </w:tcMar>
            <w:vAlign w:val="center"/>
          </w:tcPr>
          <w:p w14:paraId="62BAF99C" w14:textId="77777777" w:rsidR="00CD4596" w:rsidRDefault="00000000">
            <w:r>
              <w:rPr>
                <w:b/>
                <w:color w:val="FFFFFF"/>
                <w:sz w:val="17"/>
              </w:rPr>
              <w:t>Case or tradition</w:t>
            </w:r>
          </w:p>
        </w:tc>
        <w:tc>
          <w:tcPr>
            <w:tcW w:w="3900" w:type="dxa"/>
            <w:shd w:val="clear" w:color="auto" w:fill="075A2C"/>
            <w:tcMar>
              <w:top w:w="90" w:type="dxa"/>
              <w:left w:w="100" w:type="dxa"/>
              <w:bottom w:w="90" w:type="dxa"/>
              <w:right w:w="100" w:type="dxa"/>
            </w:tcMar>
            <w:vAlign w:val="center"/>
          </w:tcPr>
          <w:p w14:paraId="3A06B1C2" w14:textId="77777777" w:rsidR="00CD4596" w:rsidRDefault="00000000">
            <w:r>
              <w:rPr>
                <w:b/>
                <w:color w:val="FFFFFF"/>
                <w:sz w:val="17"/>
              </w:rPr>
              <w:t>Relevant lesson</w:t>
            </w:r>
          </w:p>
        </w:tc>
        <w:tc>
          <w:tcPr>
            <w:tcW w:w="3060" w:type="dxa"/>
            <w:shd w:val="clear" w:color="auto" w:fill="075A2C"/>
            <w:tcMar>
              <w:top w:w="90" w:type="dxa"/>
              <w:left w:w="100" w:type="dxa"/>
              <w:bottom w:w="90" w:type="dxa"/>
              <w:right w:w="100" w:type="dxa"/>
            </w:tcMar>
            <w:vAlign w:val="center"/>
          </w:tcPr>
          <w:p w14:paraId="2DDE4262" w14:textId="77777777" w:rsidR="00CD4596" w:rsidRDefault="00000000">
            <w:r>
              <w:rPr>
                <w:b/>
                <w:color w:val="FFFFFF"/>
                <w:sz w:val="17"/>
              </w:rPr>
              <w:t>Necessary caution</w:t>
            </w:r>
          </w:p>
        </w:tc>
      </w:tr>
      <w:tr w:rsidR="00CD4596" w14:paraId="449220AC" w14:textId="77777777">
        <w:trPr>
          <w:cantSplit/>
          <w:jc w:val="center"/>
        </w:trPr>
        <w:tc>
          <w:tcPr>
            <w:tcW w:w="2400" w:type="dxa"/>
          </w:tcPr>
          <w:p w14:paraId="6157673D" w14:textId="77777777" w:rsidR="00CD4596" w:rsidRDefault="00000000">
            <w:pPr>
              <w:pStyle w:val="TableText"/>
            </w:pPr>
            <w:r>
              <w:rPr>
                <w:b/>
                <w:color w:val="075A2C"/>
              </w:rPr>
              <w:t xml:space="preserve">Hamiltonian and </w:t>
            </w:r>
            <w:proofErr w:type="spellStart"/>
            <w:r>
              <w:rPr>
                <w:b/>
                <w:color w:val="075A2C"/>
              </w:rPr>
              <w:t>Listian</w:t>
            </w:r>
            <w:proofErr w:type="spellEnd"/>
            <w:r>
              <w:rPr>
                <w:b/>
                <w:color w:val="075A2C"/>
              </w:rPr>
              <w:t xml:space="preserve"> economics</w:t>
            </w:r>
          </w:p>
        </w:tc>
        <w:tc>
          <w:tcPr>
            <w:tcW w:w="3900" w:type="dxa"/>
          </w:tcPr>
          <w:p w14:paraId="71208AB7" w14:textId="7BD25C61" w:rsidR="00CD4596" w:rsidRDefault="00000000">
            <w:pPr>
              <w:pStyle w:val="TableText"/>
            </w:pPr>
            <w:r>
              <w:t>Production capability, infrastructure and learning can be strategic public concerns</w:t>
            </w:r>
            <w:r w:rsidR="00731598">
              <w:t>, industrialization of nations and support of infant industries</w:t>
            </w:r>
          </w:p>
        </w:tc>
        <w:tc>
          <w:tcPr>
            <w:tcW w:w="3060" w:type="dxa"/>
          </w:tcPr>
          <w:p w14:paraId="08767C7B" w14:textId="0FB04E3E" w:rsidR="00CD4596" w:rsidRDefault="00000000">
            <w:pPr>
              <w:pStyle w:val="TableText"/>
            </w:pPr>
            <w:r>
              <w:t xml:space="preserve">Protection </w:t>
            </w:r>
            <w:proofErr w:type="gramStart"/>
            <w:r>
              <w:t>without performance</w:t>
            </w:r>
            <w:proofErr w:type="gramEnd"/>
            <w:r>
              <w:t xml:space="preserve"> pressure can preserve weak firms and impose costs on consumers.</w:t>
            </w:r>
            <w:r w:rsidR="005F3FC2">
              <w:t xml:space="preserve"> Mitigated through support and investment with oversight mechanisms for state.</w:t>
            </w:r>
          </w:p>
        </w:tc>
      </w:tr>
      <w:tr w:rsidR="00CD4596" w14:paraId="74C70EC0" w14:textId="77777777">
        <w:trPr>
          <w:cantSplit/>
          <w:jc w:val="center"/>
        </w:trPr>
        <w:tc>
          <w:tcPr>
            <w:tcW w:w="2400" w:type="dxa"/>
            <w:shd w:val="clear" w:color="auto" w:fill="F3F5F4"/>
          </w:tcPr>
          <w:p w14:paraId="34FC43D9" w14:textId="77777777" w:rsidR="00CD4596" w:rsidRDefault="00000000">
            <w:pPr>
              <w:pStyle w:val="TableText"/>
            </w:pPr>
            <w:r>
              <w:rPr>
                <w:b/>
                <w:color w:val="075A2C"/>
              </w:rPr>
              <w:t>Meiji Japan</w:t>
            </w:r>
          </w:p>
        </w:tc>
        <w:tc>
          <w:tcPr>
            <w:tcW w:w="3900" w:type="dxa"/>
            <w:shd w:val="clear" w:color="auto" w:fill="F3F5F4"/>
          </w:tcPr>
          <w:p w14:paraId="4CC39BBF" w14:textId="77777777" w:rsidR="00CD4596" w:rsidRDefault="00000000">
            <w:pPr>
              <w:pStyle w:val="TableText"/>
            </w:pPr>
            <w:r>
              <w:t>Institutional reform, technology acquisition, skills and demonstration enterprises can accelerate capability building.</w:t>
            </w:r>
          </w:p>
        </w:tc>
        <w:tc>
          <w:tcPr>
            <w:tcW w:w="3060" w:type="dxa"/>
            <w:shd w:val="clear" w:color="auto" w:fill="F3F5F4"/>
          </w:tcPr>
          <w:p w14:paraId="073AC5E8" w14:textId="77777777" w:rsidR="00CD4596" w:rsidRDefault="00000000">
            <w:pPr>
              <w:pStyle w:val="TableText"/>
            </w:pPr>
            <w:r>
              <w:t>Japan’s political conditions and later imperial expansion are neither transferable nor desirable.</w:t>
            </w:r>
          </w:p>
        </w:tc>
      </w:tr>
      <w:tr w:rsidR="00CD4596" w14:paraId="2368A462" w14:textId="77777777">
        <w:trPr>
          <w:cantSplit/>
          <w:jc w:val="center"/>
        </w:trPr>
        <w:tc>
          <w:tcPr>
            <w:tcW w:w="2400" w:type="dxa"/>
          </w:tcPr>
          <w:p w14:paraId="138DC1CE" w14:textId="77777777" w:rsidR="00CD4596" w:rsidRDefault="00000000">
            <w:pPr>
              <w:pStyle w:val="TableText"/>
            </w:pPr>
            <w:r>
              <w:rPr>
                <w:b/>
                <w:color w:val="075A2C"/>
              </w:rPr>
              <w:t>Post-war Japan</w:t>
            </w:r>
          </w:p>
        </w:tc>
        <w:tc>
          <w:tcPr>
            <w:tcW w:w="3900" w:type="dxa"/>
          </w:tcPr>
          <w:p w14:paraId="4050BE99" w14:textId="77777777" w:rsidR="00CD4596" w:rsidRDefault="00000000">
            <w:pPr>
              <w:pStyle w:val="TableText"/>
            </w:pPr>
            <w:r>
              <w:t>Long-term reconstruction finance and coordinated infrastructure can rebuild productive capacity.</w:t>
            </w:r>
          </w:p>
        </w:tc>
        <w:tc>
          <w:tcPr>
            <w:tcW w:w="3060" w:type="dxa"/>
          </w:tcPr>
          <w:p w14:paraId="74ACC759" w14:textId="77777777" w:rsidR="00CD4596" w:rsidRDefault="00000000">
            <w:pPr>
              <w:pStyle w:val="TableText"/>
            </w:pPr>
            <w:r>
              <w:t>External security, global demand and institutional inheritance shaped the outcome.</w:t>
            </w:r>
          </w:p>
        </w:tc>
      </w:tr>
      <w:tr w:rsidR="00CD4596" w14:paraId="6E8AA262" w14:textId="77777777">
        <w:trPr>
          <w:cantSplit/>
          <w:jc w:val="center"/>
        </w:trPr>
        <w:tc>
          <w:tcPr>
            <w:tcW w:w="2400" w:type="dxa"/>
            <w:shd w:val="clear" w:color="auto" w:fill="F3F5F4"/>
          </w:tcPr>
          <w:p w14:paraId="0077119B" w14:textId="35C0C898" w:rsidR="00CD4596" w:rsidRDefault="00C95971">
            <w:pPr>
              <w:pStyle w:val="TableText"/>
            </w:pPr>
            <w:r>
              <w:rPr>
                <w:b/>
                <w:color w:val="075A2C"/>
              </w:rPr>
              <w:t>Asian Tigers</w:t>
            </w:r>
            <w:r>
              <w:rPr>
                <w:b/>
                <w:color w:val="075A2C"/>
              </w:rPr>
              <w:br/>
              <w:t>(South Korea, Taiwan, Singapore, Hong Kong)</w:t>
            </w:r>
          </w:p>
        </w:tc>
        <w:tc>
          <w:tcPr>
            <w:tcW w:w="3900" w:type="dxa"/>
            <w:shd w:val="clear" w:color="auto" w:fill="F3F5F4"/>
          </w:tcPr>
          <w:p w14:paraId="72EB1E27" w14:textId="77777777" w:rsidR="00CD4596" w:rsidRDefault="00000000">
            <w:pPr>
              <w:pStyle w:val="TableText"/>
            </w:pPr>
            <w:r>
              <w:t>Export discipline, education, infrastructure and capable administration can reinforce private investment.</w:t>
            </w:r>
          </w:p>
        </w:tc>
        <w:tc>
          <w:tcPr>
            <w:tcW w:w="3060" w:type="dxa"/>
            <w:shd w:val="clear" w:color="auto" w:fill="F3F5F4"/>
          </w:tcPr>
          <w:p w14:paraId="40F0BCE0" w14:textId="77777777" w:rsidR="00CD4596" w:rsidRDefault="00000000">
            <w:pPr>
              <w:pStyle w:val="TableText"/>
            </w:pPr>
            <w:r>
              <w:t>Country experiences differed; intervention also created concentration, financial risk and distributional costs.</w:t>
            </w:r>
          </w:p>
        </w:tc>
      </w:tr>
      <w:tr w:rsidR="00CD4596" w14:paraId="27012305" w14:textId="77777777">
        <w:trPr>
          <w:cantSplit/>
          <w:jc w:val="center"/>
        </w:trPr>
        <w:tc>
          <w:tcPr>
            <w:tcW w:w="2400" w:type="dxa"/>
          </w:tcPr>
          <w:p w14:paraId="57846E9B" w14:textId="77777777" w:rsidR="00CD4596" w:rsidRDefault="00000000">
            <w:pPr>
              <w:pStyle w:val="TableText"/>
            </w:pPr>
            <w:r>
              <w:rPr>
                <w:b/>
                <w:color w:val="075A2C"/>
              </w:rPr>
              <w:t>China after 1978</w:t>
            </w:r>
          </w:p>
        </w:tc>
        <w:tc>
          <w:tcPr>
            <w:tcW w:w="3900" w:type="dxa"/>
          </w:tcPr>
          <w:p w14:paraId="0E940475" w14:textId="77777777" w:rsidR="00CD4596" w:rsidRDefault="00000000">
            <w:pPr>
              <w:pStyle w:val="TableText"/>
            </w:pPr>
            <w:r>
              <w:t>Sequenced reform, local experimentation, incentives, infrastructure and trade integration can release large productivity gains.</w:t>
            </w:r>
          </w:p>
        </w:tc>
        <w:tc>
          <w:tcPr>
            <w:tcW w:w="3060" w:type="dxa"/>
          </w:tcPr>
          <w:p w14:paraId="5F7BAF4E" w14:textId="77777777" w:rsidR="00CD4596" w:rsidRDefault="00000000">
            <w:pPr>
              <w:pStyle w:val="TableText"/>
            </w:pPr>
            <w:r>
              <w:t>Scale, institutions and geopolitical circumstances cannot be replicated mechanically.</w:t>
            </w:r>
          </w:p>
        </w:tc>
      </w:tr>
      <w:tr w:rsidR="00CD4596" w14:paraId="641EBA16" w14:textId="77777777">
        <w:trPr>
          <w:cantSplit/>
          <w:jc w:val="center"/>
        </w:trPr>
        <w:tc>
          <w:tcPr>
            <w:tcW w:w="2400" w:type="dxa"/>
            <w:shd w:val="clear" w:color="auto" w:fill="F3F5F4"/>
          </w:tcPr>
          <w:p w14:paraId="71A94EEE" w14:textId="77777777" w:rsidR="00CD4596" w:rsidRDefault="00000000">
            <w:pPr>
              <w:pStyle w:val="TableText"/>
            </w:pPr>
            <w:r>
              <w:rPr>
                <w:b/>
                <w:color w:val="075A2C"/>
              </w:rPr>
              <w:t>American New Deal</w:t>
            </w:r>
          </w:p>
        </w:tc>
        <w:tc>
          <w:tcPr>
            <w:tcW w:w="3900" w:type="dxa"/>
            <w:shd w:val="clear" w:color="auto" w:fill="F3F5F4"/>
          </w:tcPr>
          <w:p w14:paraId="0745F1AE" w14:textId="77777777" w:rsidR="00CD4596" w:rsidRDefault="00000000">
            <w:pPr>
              <w:pStyle w:val="TableText"/>
            </w:pPr>
            <w:r>
              <w:t>Public works and employment programs can relieve distress and create durable assets during crisis.</w:t>
            </w:r>
          </w:p>
        </w:tc>
        <w:tc>
          <w:tcPr>
            <w:tcW w:w="3060" w:type="dxa"/>
            <w:shd w:val="clear" w:color="auto" w:fill="F3F5F4"/>
          </w:tcPr>
          <w:p w14:paraId="2155655F" w14:textId="77777777" w:rsidR="00CD4596" w:rsidRDefault="00000000">
            <w:pPr>
              <w:pStyle w:val="TableText"/>
            </w:pPr>
            <w:r>
              <w:t>The New Deal did not by itself end the Great Depression; project quality and macro conditions still matter.</w:t>
            </w:r>
          </w:p>
        </w:tc>
      </w:tr>
      <w:tr w:rsidR="00CD4596" w14:paraId="32B55CDD" w14:textId="77777777">
        <w:trPr>
          <w:cantSplit/>
          <w:jc w:val="center"/>
        </w:trPr>
        <w:tc>
          <w:tcPr>
            <w:tcW w:w="2400" w:type="dxa"/>
          </w:tcPr>
          <w:p w14:paraId="09D5D043" w14:textId="77777777" w:rsidR="00CD4596" w:rsidRDefault="00000000">
            <w:pPr>
              <w:pStyle w:val="TableText"/>
            </w:pPr>
            <w:r>
              <w:rPr>
                <w:b/>
                <w:color w:val="075A2C"/>
              </w:rPr>
              <w:t>European post-war recovery</w:t>
            </w:r>
          </w:p>
        </w:tc>
        <w:tc>
          <w:tcPr>
            <w:tcW w:w="3900" w:type="dxa"/>
          </w:tcPr>
          <w:p w14:paraId="6AA34DE3" w14:textId="77777777" w:rsidR="00CD4596" w:rsidRDefault="00000000">
            <w:pPr>
              <w:pStyle w:val="TableText"/>
            </w:pPr>
            <w:r>
              <w:t>Finance, trade cooperation, reconstruction and institutional coordination can be mutually reinforcing.</w:t>
            </w:r>
          </w:p>
        </w:tc>
        <w:tc>
          <w:tcPr>
            <w:tcW w:w="3060" w:type="dxa"/>
          </w:tcPr>
          <w:p w14:paraId="15EFFC79" w14:textId="77777777" w:rsidR="00CD4596" w:rsidRDefault="00000000">
            <w:pPr>
              <w:pStyle w:val="TableText"/>
            </w:pPr>
            <w:r>
              <w:t>External assistance worked with domestic institutions; transfers alone are insufficient.</w:t>
            </w:r>
          </w:p>
        </w:tc>
      </w:tr>
      <w:tr w:rsidR="00CD4596" w14:paraId="39A931D0" w14:textId="77777777">
        <w:trPr>
          <w:cantSplit/>
          <w:jc w:val="center"/>
        </w:trPr>
        <w:tc>
          <w:tcPr>
            <w:tcW w:w="2400" w:type="dxa"/>
            <w:shd w:val="clear" w:color="auto" w:fill="F3F5F4"/>
          </w:tcPr>
          <w:p w14:paraId="72B858E2" w14:textId="77777777" w:rsidR="00CD4596" w:rsidRDefault="00000000">
            <w:pPr>
              <w:pStyle w:val="TableText"/>
            </w:pPr>
            <w:r>
              <w:rPr>
                <w:b/>
                <w:color w:val="075A2C"/>
              </w:rPr>
              <w:t>Soviet reconstruction</w:t>
            </w:r>
          </w:p>
        </w:tc>
        <w:tc>
          <w:tcPr>
            <w:tcW w:w="3900" w:type="dxa"/>
            <w:shd w:val="clear" w:color="auto" w:fill="F3F5F4"/>
          </w:tcPr>
          <w:p w14:paraId="2536C4B3" w14:textId="77777777" w:rsidR="00CD4596" w:rsidRDefault="00000000">
            <w:pPr>
              <w:pStyle w:val="TableText"/>
            </w:pPr>
            <w:r>
              <w:t>Mobilization can concentrate resources on physical output under severe constraints.</w:t>
            </w:r>
          </w:p>
        </w:tc>
        <w:tc>
          <w:tcPr>
            <w:tcW w:w="3060" w:type="dxa"/>
            <w:shd w:val="clear" w:color="auto" w:fill="F3F5F4"/>
          </w:tcPr>
          <w:p w14:paraId="4124BE66" w14:textId="77777777" w:rsidR="00CD4596" w:rsidRDefault="00000000">
            <w:pPr>
              <w:pStyle w:val="TableText"/>
            </w:pPr>
            <w:r>
              <w:t>Coercion, weak information, distorted incentives and human costs are fundamental warnings, not minor details.</w:t>
            </w:r>
          </w:p>
        </w:tc>
      </w:tr>
      <w:tr w:rsidR="00C95971" w14:paraId="0189A8C5" w14:textId="77777777">
        <w:trPr>
          <w:cantSplit/>
          <w:jc w:val="center"/>
        </w:trPr>
        <w:tc>
          <w:tcPr>
            <w:tcW w:w="2400" w:type="dxa"/>
            <w:shd w:val="clear" w:color="auto" w:fill="F3F5F4"/>
          </w:tcPr>
          <w:p w14:paraId="4EC12305" w14:textId="4F31D92E" w:rsidR="00C95971" w:rsidRDefault="00CE0533">
            <w:pPr>
              <w:pStyle w:val="TableText"/>
              <w:rPr>
                <w:b/>
                <w:color w:val="075A2C"/>
              </w:rPr>
            </w:pPr>
            <w:r>
              <w:rPr>
                <w:b/>
                <w:color w:val="075A2C"/>
              </w:rPr>
              <w:t>Early American Industrialization (1850s-1920s)</w:t>
            </w:r>
          </w:p>
        </w:tc>
        <w:tc>
          <w:tcPr>
            <w:tcW w:w="3900" w:type="dxa"/>
            <w:shd w:val="clear" w:color="auto" w:fill="F3F5F4"/>
          </w:tcPr>
          <w:p w14:paraId="626954C6" w14:textId="365FBBAC" w:rsidR="00C95971" w:rsidRDefault="00CE0533">
            <w:pPr>
              <w:pStyle w:val="TableText"/>
            </w:pPr>
            <w:r>
              <w:t>Importance of Industrialization, Infrastructure, Development and Frontier Development, and</w:t>
            </w:r>
            <w:r w:rsidR="001A4FA5">
              <w:t xml:space="preserve"> more.</w:t>
            </w:r>
            <w:r>
              <w:t xml:space="preserve"> </w:t>
            </w:r>
          </w:p>
        </w:tc>
        <w:tc>
          <w:tcPr>
            <w:tcW w:w="3060" w:type="dxa"/>
            <w:shd w:val="clear" w:color="auto" w:fill="F3F5F4"/>
          </w:tcPr>
          <w:p w14:paraId="7DE62796" w14:textId="0CEC751E" w:rsidR="00C95971" w:rsidRDefault="00CE0533">
            <w:pPr>
              <w:pStyle w:val="TableText"/>
            </w:pPr>
            <w:r>
              <w:t>Importance of Governance Reach and Emergency Services to Prevent Outlaws, Importance of Railroads and other infrastructure for Frontiers, and Effect of Early Industrialization.</w:t>
            </w:r>
            <w:r w:rsidR="0094182D">
              <w:t xml:space="preserve"> Importance of ethical and consent expansion compared to American colonialism.</w:t>
            </w:r>
          </w:p>
        </w:tc>
      </w:tr>
      <w:tr w:rsidR="003D316E" w14:paraId="06DDE14A" w14:textId="77777777">
        <w:trPr>
          <w:cantSplit/>
          <w:jc w:val="center"/>
        </w:trPr>
        <w:tc>
          <w:tcPr>
            <w:tcW w:w="2400" w:type="dxa"/>
            <w:shd w:val="clear" w:color="auto" w:fill="F3F5F4"/>
          </w:tcPr>
          <w:p w14:paraId="549970EF" w14:textId="45F2F51E" w:rsidR="003D316E" w:rsidRDefault="00BD1EF7">
            <w:pPr>
              <w:pStyle w:val="TableText"/>
              <w:rPr>
                <w:b/>
                <w:color w:val="075A2C"/>
              </w:rPr>
            </w:pPr>
            <w:r>
              <w:rPr>
                <w:b/>
                <w:color w:val="075A2C"/>
              </w:rPr>
              <w:t>Modern Economic Lessons</w:t>
            </w:r>
          </w:p>
        </w:tc>
        <w:tc>
          <w:tcPr>
            <w:tcW w:w="3900" w:type="dxa"/>
            <w:shd w:val="clear" w:color="auto" w:fill="F3F5F4"/>
          </w:tcPr>
          <w:p w14:paraId="1D8E532C" w14:textId="1D9BF6D6" w:rsidR="003D316E" w:rsidRDefault="00BD1EF7">
            <w:pPr>
              <w:pStyle w:val="TableText"/>
            </w:pPr>
            <w:r>
              <w:t xml:space="preserve">Emergence of AI and Mass-Produced Robotics, Coronavirus, Modern Economic Wars (Iran, Ukraine-Russia, etc. and their impact on economies. </w:t>
            </w:r>
          </w:p>
        </w:tc>
        <w:tc>
          <w:tcPr>
            <w:tcW w:w="3060" w:type="dxa"/>
            <w:shd w:val="clear" w:color="auto" w:fill="F3F5F4"/>
          </w:tcPr>
          <w:p w14:paraId="78198A5C" w14:textId="6928675E" w:rsidR="003D316E" w:rsidRDefault="00BD1EF7">
            <w:pPr>
              <w:pStyle w:val="TableText"/>
            </w:pPr>
            <w:r>
              <w:t>Value of mass-production in robotics, economic impact of AI, Importance of Synthetic Fuels as an Alternative Fuel Source for Energy and Logistics, Food Security and Land Reclamation (</w:t>
            </w:r>
            <w:proofErr w:type="spellStart"/>
            <w:r>
              <w:t>NewDelta</w:t>
            </w:r>
            <w:proofErr w:type="spellEnd"/>
            <w:r>
              <w:t xml:space="preserve">). </w:t>
            </w:r>
          </w:p>
        </w:tc>
      </w:tr>
    </w:tbl>
    <w:p w14:paraId="2AE8BB7A" w14:textId="77777777" w:rsidR="00CD4596" w:rsidRDefault="00000000">
      <w:pPr>
        <w:pStyle w:val="Reference"/>
      </w:pPr>
      <w:r>
        <w:t xml:space="preserve">Case sources: </w:t>
      </w:r>
      <w:hyperlink r:id="rId25">
        <w:r w:rsidR="00CD4596">
          <w:rPr>
            <w:color w:val="075A2C"/>
            <w:sz w:val="15"/>
            <w:vertAlign w:val="superscript"/>
          </w:rPr>
          <w:t>[3]</w:t>
        </w:r>
      </w:hyperlink>
      <w:r>
        <w:t xml:space="preserve"> </w:t>
      </w:r>
      <w:hyperlink r:id="rId26">
        <w:r w:rsidR="00CD4596">
          <w:rPr>
            <w:color w:val="075A2C"/>
            <w:sz w:val="15"/>
            <w:vertAlign w:val="superscript"/>
          </w:rPr>
          <w:t>[4]</w:t>
        </w:r>
      </w:hyperlink>
      <w:r>
        <w:t xml:space="preserve"> </w:t>
      </w:r>
      <w:hyperlink r:id="rId27">
        <w:r w:rsidR="00CD4596">
          <w:rPr>
            <w:color w:val="075A2C"/>
            <w:sz w:val="15"/>
            <w:vertAlign w:val="superscript"/>
          </w:rPr>
          <w:t>[5]</w:t>
        </w:r>
      </w:hyperlink>
      <w:r>
        <w:t xml:space="preserve"> </w:t>
      </w:r>
      <w:hyperlink r:id="rId28">
        <w:r w:rsidR="00CD4596">
          <w:rPr>
            <w:color w:val="075A2C"/>
            <w:sz w:val="15"/>
            <w:vertAlign w:val="superscript"/>
          </w:rPr>
          <w:t>[6]</w:t>
        </w:r>
      </w:hyperlink>
      <w:r>
        <w:t xml:space="preserve"> </w:t>
      </w:r>
      <w:hyperlink r:id="rId29">
        <w:r w:rsidR="00CD4596">
          <w:rPr>
            <w:color w:val="075A2C"/>
            <w:sz w:val="15"/>
            <w:vertAlign w:val="superscript"/>
          </w:rPr>
          <w:t>[7]</w:t>
        </w:r>
      </w:hyperlink>
      <w:r>
        <w:t xml:space="preserve"> </w:t>
      </w:r>
      <w:hyperlink r:id="rId30">
        <w:r w:rsidR="00CD4596">
          <w:rPr>
            <w:color w:val="075A2C"/>
            <w:sz w:val="15"/>
            <w:vertAlign w:val="superscript"/>
          </w:rPr>
          <w:t>[8]</w:t>
        </w:r>
      </w:hyperlink>
      <w:r>
        <w:t xml:space="preserve"> </w:t>
      </w:r>
      <w:hyperlink r:id="rId31">
        <w:r w:rsidR="00CD4596">
          <w:rPr>
            <w:color w:val="075A2C"/>
            <w:sz w:val="15"/>
            <w:vertAlign w:val="superscript"/>
          </w:rPr>
          <w:t>[9]</w:t>
        </w:r>
      </w:hyperlink>
    </w:p>
    <w:p w14:paraId="3D6CF2AA" w14:textId="77777777" w:rsidR="00CD4596" w:rsidRDefault="00000000">
      <w:pPr>
        <w:pStyle w:val="Heading2"/>
      </w:pPr>
      <w:proofErr w:type="gramStart"/>
      <w:r>
        <w:lastRenderedPageBreak/>
        <w:t>2.2  The</w:t>
      </w:r>
      <w:proofErr w:type="gramEnd"/>
      <w:r>
        <w:t xml:space="preserve"> common pattern</w:t>
      </w:r>
    </w:p>
    <w:p w14:paraId="17A63834" w14:textId="77777777" w:rsidR="00CD4596" w:rsidRDefault="00000000">
      <w:pPr>
        <w:pStyle w:val="BodyText"/>
      </w:pPr>
      <w:r>
        <w:t xml:space="preserve">The cases do not prove that one institutional model always wins. They do reveal a recurring pattern: productive transformation requires learning, infrastructure, organizational capability, access to markets, finance suited to long-lived assets and institutions able to solve coordination problems. Contemporary evidence on industrial policy and global value chains reaches a similar conclusion while placing greater emphasis on competition, governance, evaluation and environmental limits. </w:t>
      </w:r>
      <w:hyperlink r:id="rId32">
        <w:r w:rsidR="00CD4596">
          <w:rPr>
            <w:color w:val="075A2C"/>
            <w:sz w:val="15"/>
            <w:vertAlign w:val="superscript"/>
          </w:rPr>
          <w:t>[11]</w:t>
        </w:r>
      </w:hyperlink>
      <w:r>
        <w:t xml:space="preserve"> </w:t>
      </w:r>
      <w:hyperlink r:id="rId33">
        <w:r w:rsidR="00CD4596">
          <w:rPr>
            <w:color w:val="075A2C"/>
            <w:sz w:val="15"/>
            <w:vertAlign w:val="superscript"/>
          </w:rPr>
          <w:t>[10]</w:t>
        </w:r>
      </w:hyperlink>
      <w:r>
        <w:t xml:space="preserve"> </w:t>
      </w:r>
      <w:hyperlink r:id="rId34">
        <w:r w:rsidR="00CD4596">
          <w:rPr>
            <w:color w:val="075A2C"/>
            <w:sz w:val="15"/>
            <w:vertAlign w:val="superscript"/>
          </w:rPr>
          <w:t>[13]</w:t>
        </w:r>
      </w:hyperlink>
      <w:r>
        <w:t xml:space="preserve"> </w:t>
      </w:r>
      <w:hyperlink r:id="rId35">
        <w:r w:rsidR="00CD4596">
          <w:rPr>
            <w:color w:val="075A2C"/>
            <w:sz w:val="15"/>
            <w:vertAlign w:val="superscript"/>
          </w:rPr>
          <w:t>[14]</w:t>
        </w:r>
      </w:hyperlink>
    </w:p>
    <w:p w14:paraId="5EC6F190" w14:textId="149F6CCF" w:rsidR="00CD4596" w:rsidRDefault="00000000">
      <w:pPr>
        <w:pStyle w:val="Heading2"/>
      </w:pPr>
      <w:proofErr w:type="gramStart"/>
      <w:r>
        <w:t xml:space="preserve">2.3  </w:t>
      </w:r>
      <w:r w:rsidR="00FF4272">
        <w:t>Proposals</w:t>
      </w:r>
      <w:proofErr w:type="gramEnd"/>
      <w:r w:rsidR="00FF4272">
        <w:t xml:space="preserve"> of Commercial Economics to Egypt</w:t>
      </w:r>
    </w:p>
    <w:p w14:paraId="112E16E1" w14:textId="1C6D8772" w:rsidR="00CD4596" w:rsidRDefault="00000000">
      <w:pPr>
        <w:pStyle w:val="ListBullet"/>
      </w:pPr>
      <w:r>
        <w:t xml:space="preserve">Adopt the discipline of capability </w:t>
      </w:r>
      <w:r w:rsidR="00A04C83">
        <w:t>and nation</w:t>
      </w:r>
      <w:r w:rsidR="00260568">
        <w:t>-</w:t>
      </w:r>
      <w:r>
        <w:t>building, not the political system of any historical case.</w:t>
      </w:r>
    </w:p>
    <w:p w14:paraId="303068FE" w14:textId="75948301" w:rsidR="00CD4596" w:rsidRDefault="00BC385C">
      <w:pPr>
        <w:pStyle w:val="ListBullet"/>
      </w:pPr>
      <w:r>
        <w:t>Embrace export and market performance economic thinking to promote industrial and construction efforts in the nation, while also valuing food, energy, health and resilience outcomes.</w:t>
      </w:r>
    </w:p>
    <w:p w14:paraId="4C38950A" w14:textId="77777777" w:rsidR="00CD4596" w:rsidRDefault="00000000">
      <w:pPr>
        <w:pStyle w:val="ListBullet"/>
      </w:pPr>
      <w:r>
        <w:t>Sequence ambition: combine achievable near-term production with deliberate learning toward more complex capabilities.</w:t>
      </w:r>
    </w:p>
    <w:p w14:paraId="4A434D84" w14:textId="4ABAAE8F" w:rsidR="00260568" w:rsidRDefault="00260568">
      <w:pPr>
        <w:pStyle w:val="ListBullet"/>
      </w:pPr>
      <w:r>
        <w:t xml:space="preserve">Allow an organic frontier spirit to arise from Youth, </w:t>
      </w:r>
      <w:proofErr w:type="gramStart"/>
      <w:r>
        <w:t>it’s</w:t>
      </w:r>
      <w:proofErr w:type="gramEnd"/>
      <w:r>
        <w:t xml:space="preserve"> successes, and efforts to jump start a migration of Egyptians towards an industrialized New Delta contributing greatly to the Egyptian economy and </w:t>
      </w:r>
      <w:proofErr w:type="spellStart"/>
      <w:r>
        <w:t>it’s</w:t>
      </w:r>
      <w:proofErr w:type="spellEnd"/>
      <w:r>
        <w:t xml:space="preserve"> exports due to industrial and economic output from </w:t>
      </w:r>
      <w:proofErr w:type="spellStart"/>
      <w:proofErr w:type="gramStart"/>
      <w:r>
        <w:t>it’s</w:t>
      </w:r>
      <w:proofErr w:type="spellEnd"/>
      <w:proofErr w:type="gramEnd"/>
      <w:r>
        <w:t xml:space="preserve"> towns designed with economic output, productivity, and living standards in mind to encourage migration and growth.</w:t>
      </w:r>
    </w:p>
    <w:p w14:paraId="31BA8663" w14:textId="4033DA16" w:rsidR="00CD4596" w:rsidRDefault="00FF15C5">
      <w:pPr>
        <w:pStyle w:val="ListBullet"/>
      </w:pPr>
      <w:r>
        <w:t>To be useful by private sectors and Egyptian government in developing their businesses and economy respectively.</w:t>
      </w:r>
    </w:p>
    <w:p w14:paraId="5BC25111" w14:textId="77777777" w:rsidR="00CD4596" w:rsidRDefault="00000000">
      <w:pPr>
        <w:pStyle w:val="ListBullet"/>
      </w:pPr>
      <w:r>
        <w:t>Treat water, energy, climate and foreign exchange as binding design constraints from the beginning.</w:t>
      </w:r>
    </w:p>
    <w:p w14:paraId="47645AD9" w14:textId="09AB6E87" w:rsidR="00E27DA9" w:rsidRDefault="006A52D5" w:rsidP="00E27DA9">
      <w:pPr>
        <w:pStyle w:val="ListBullet"/>
      </w:pPr>
      <w:r>
        <w:t xml:space="preserve">Adopt </w:t>
      </w:r>
      <w:r w:rsidR="00B95641">
        <w:t xml:space="preserve">Eco-Industrialization early by </w:t>
      </w:r>
      <w:proofErr w:type="spellStart"/>
      <w:r w:rsidR="00B95641">
        <w:t>expirementing</w:t>
      </w:r>
      <w:proofErr w:type="spellEnd"/>
      <w:r w:rsidR="00B95641">
        <w:t xml:space="preserve"> with industrial processes that transform industrial waste into raw materials. It can allow pollution to be turned into industrial gases that can be </w:t>
      </w:r>
      <w:proofErr w:type="gramStart"/>
      <w:r w:rsidR="00B95641">
        <w:t>refed</w:t>
      </w:r>
      <w:proofErr w:type="gramEnd"/>
      <w:r w:rsidR="00B95641">
        <w:t xml:space="preserve"> to surrounding industries with gases to make fertilizer using nitrogen, welding metals, making gypsum for plaster and plaster boards for all types of construction from sulfur in fossil fuel pollution, and more. It seeks to create industrial symbiosis around pollution</w:t>
      </w:r>
      <w:r w:rsidR="004D4F25">
        <w:t xml:space="preserve"> </w:t>
      </w:r>
      <w:r w:rsidR="00380B40">
        <w:t>and turn it from something harmful into the safe and sterile atmosphere in your packaged foods or used in making a chair that you will sit on or a building you will live in</w:t>
      </w:r>
      <w:r w:rsidR="00B95641">
        <w:t>.</w:t>
      </w:r>
      <w:r w:rsidR="00E86A69">
        <w:t xml:space="preserve"> It sees pollution as a massive business and economic opportunity if industrial processes, logic, and symbiosis </w:t>
      </w:r>
      <w:proofErr w:type="gramStart"/>
      <w:r w:rsidR="00E86A69">
        <w:t>occurs</w:t>
      </w:r>
      <w:proofErr w:type="gramEnd"/>
      <w:r w:rsidR="00E86A69">
        <w:t>.</w:t>
      </w:r>
      <w:r w:rsidR="00B95641">
        <w:t xml:space="preserve"> </w:t>
      </w:r>
    </w:p>
    <w:p w14:paraId="23D4BB57" w14:textId="08C1DD80" w:rsidR="00E27DA9" w:rsidRPr="00E27DA9" w:rsidRDefault="00E27DA9" w:rsidP="00E27DA9">
      <w:pPr>
        <w:pStyle w:val="ListBullet"/>
      </w:pPr>
      <w:r w:rsidRPr="00E27DA9">
        <w:t xml:space="preserve">The </w:t>
      </w:r>
      <w:r>
        <w:t>field</w:t>
      </w:r>
      <w:r w:rsidRPr="00E27DA9">
        <w:t xml:space="preserve"> reallocates</w:t>
      </w:r>
      <w:r>
        <w:t xml:space="preserve"> a portion of</w:t>
      </w:r>
      <w:r w:rsidRPr="00E27DA9">
        <w:t xml:space="preserve"> government spending</w:t>
      </w:r>
      <w:r>
        <w:t xml:space="preserve"> into domestic</w:t>
      </w:r>
      <w:r w:rsidR="00254C0A">
        <w:t xml:space="preserve"> </w:t>
      </w:r>
      <w:r w:rsidR="00521E97">
        <w:t xml:space="preserve">equity </w:t>
      </w:r>
      <w:r>
        <w:t>investments</w:t>
      </w:r>
      <w:r w:rsidRPr="00E27DA9">
        <w:t xml:space="preserve"> to catalyze private-sector growth in industry, construction, and research through public-private venture capital firms that provide equity contributions (machinery, land, buildings) to startups</w:t>
      </w:r>
      <w:r w:rsidR="003F2740">
        <w:t xml:space="preserve">, </w:t>
      </w:r>
      <w:r w:rsidRPr="00E27DA9">
        <w:t>a Keynesian approach where the state invests alongside the private sector to boost economic capabilities and generate future tax revenues. Since VCs manage</w:t>
      </w:r>
      <w:r w:rsidR="00833B0F">
        <w:t xml:space="preserve"> and audit</w:t>
      </w:r>
      <w:r w:rsidRPr="00E27DA9">
        <w:t xml:space="preserve"> investments more effectively than government bodies, this increases the odds of success, with the long-term vision being that successful VCs will mature into equity-based banks upon obtaining banking licenses, ultimately creating self-sustaining financial institutions that drive lasting economic growth in Egypt.</w:t>
      </w:r>
    </w:p>
    <w:p w14:paraId="6917F515" w14:textId="77777777" w:rsidR="001F7164" w:rsidRDefault="001F7164" w:rsidP="001F7164">
      <w:pPr>
        <w:pStyle w:val="ListBullet"/>
        <w:numPr>
          <w:ilvl w:val="0"/>
          <w:numId w:val="0"/>
        </w:numPr>
        <w:ind w:left="360" w:hanging="360"/>
      </w:pPr>
    </w:p>
    <w:tbl>
      <w:tblPr>
        <w:tblW w:w="9000" w:type="dxa"/>
        <w:jc w:val="center"/>
        <w:tblBorders>
          <w:top w:val="single" w:sz="8" w:space="0" w:color="2F7D52"/>
          <w:left w:val="single" w:sz="8" w:space="0" w:color="2F7D52"/>
          <w:bottom w:val="single" w:sz="8" w:space="0" w:color="2F7D52"/>
          <w:right w:val="single" w:sz="8" w:space="0" w:color="2F7D52"/>
          <w:insideH w:val="single" w:sz="8" w:space="0" w:color="2F7D52"/>
          <w:insideV w:val="single" w:sz="8" w:space="0" w:color="2F7D52"/>
        </w:tblBorders>
        <w:tblLayout w:type="fixed"/>
        <w:tblLook w:val="04A0" w:firstRow="1" w:lastRow="0" w:firstColumn="1" w:lastColumn="0" w:noHBand="0" w:noVBand="1"/>
      </w:tblPr>
      <w:tblGrid>
        <w:gridCol w:w="9000"/>
      </w:tblGrid>
      <w:tr w:rsidR="00CD4596" w14:paraId="425EBE27" w14:textId="77777777">
        <w:trPr>
          <w:jc w:val="center"/>
        </w:trPr>
        <w:tc>
          <w:tcPr>
            <w:tcW w:w="9000" w:type="dxa"/>
            <w:shd w:val="clear" w:color="auto" w:fill="F3F5F4"/>
            <w:tcMar>
              <w:top w:w="90" w:type="dxa"/>
              <w:left w:w="100" w:type="dxa"/>
              <w:bottom w:w="90" w:type="dxa"/>
              <w:right w:w="100" w:type="dxa"/>
            </w:tcMar>
            <w:vAlign w:val="center"/>
          </w:tcPr>
          <w:p w14:paraId="48ACCF7E" w14:textId="77777777" w:rsidR="00CD4596" w:rsidRDefault="00000000">
            <w:pPr>
              <w:spacing w:after="80"/>
            </w:pPr>
            <w:r>
              <w:rPr>
                <w:b/>
                <w:color w:val="075A2C"/>
                <w:sz w:val="17"/>
              </w:rPr>
              <w:t>HISTORICAL INFERENCE—NOT HISTORICAL PROOF</w:t>
            </w:r>
          </w:p>
          <w:p w14:paraId="28A0F834" w14:textId="77777777" w:rsidR="00CD4596" w:rsidRDefault="00000000">
            <w:pPr>
              <w:pStyle w:val="Callout"/>
            </w:pPr>
            <w:r>
              <w:t xml:space="preserve">Commercial Economics uses case studies to generate hypotheses. It does not claim that a policy succeeded solely because a country industrialized after adopting it. Each proposed intervention still requires an explicit causal case, </w:t>
            </w:r>
            <w:proofErr w:type="gramStart"/>
            <w:r>
              <w:t>a counterfactual</w:t>
            </w:r>
            <w:proofErr w:type="gramEnd"/>
            <w:r>
              <w:t xml:space="preserve"> and local evidence.</w:t>
            </w:r>
          </w:p>
        </w:tc>
      </w:tr>
    </w:tbl>
    <w:p w14:paraId="47B1C126" w14:textId="77777777" w:rsidR="00CD4596" w:rsidRDefault="00000000">
      <w:pPr>
        <w:pStyle w:val="Heading1"/>
        <w:pageBreakBefore/>
        <w:pBdr>
          <w:bottom w:val="single" w:sz="6" w:space="6" w:color="CFE5D7"/>
        </w:pBdr>
      </w:pPr>
      <w:proofErr w:type="gramStart"/>
      <w:r>
        <w:rPr>
          <w:color w:val="2F7D52"/>
        </w:rPr>
        <w:lastRenderedPageBreak/>
        <w:t xml:space="preserve">03  </w:t>
      </w:r>
      <w:r>
        <w:t>The</w:t>
      </w:r>
      <w:proofErr w:type="gramEnd"/>
      <w:r>
        <w:t xml:space="preserve"> architecture of a physical economy</w:t>
      </w:r>
    </w:p>
    <w:p w14:paraId="094BA6A0" w14:textId="77777777" w:rsidR="00CD4596" w:rsidRDefault="00000000">
      <w:pPr>
        <w:pStyle w:val="ChapterSubtitle"/>
      </w:pPr>
      <w:r>
        <w:t>A productive society is a system of systems. Missing foundations can limit every firm at once.</w:t>
      </w:r>
    </w:p>
    <w:p w14:paraId="3643F71B" w14:textId="77777777" w:rsidR="00CD4596" w:rsidRDefault="00000000">
      <w:pPr>
        <w:pStyle w:val="Heading2"/>
      </w:pPr>
      <w:proofErr w:type="gramStart"/>
      <w:r>
        <w:t>3.1  Five</w:t>
      </w:r>
      <w:proofErr w:type="gramEnd"/>
      <w:r>
        <w:t xml:space="preserve"> connected domains</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1900"/>
        <w:gridCol w:w="4300"/>
        <w:gridCol w:w="3160"/>
      </w:tblGrid>
      <w:tr w:rsidR="00CD4596" w14:paraId="6A9D3348" w14:textId="77777777">
        <w:trPr>
          <w:tblHeader/>
          <w:jc w:val="center"/>
        </w:trPr>
        <w:tc>
          <w:tcPr>
            <w:tcW w:w="1900" w:type="dxa"/>
            <w:shd w:val="clear" w:color="auto" w:fill="075A2C"/>
            <w:tcMar>
              <w:top w:w="90" w:type="dxa"/>
              <w:left w:w="100" w:type="dxa"/>
              <w:bottom w:w="90" w:type="dxa"/>
              <w:right w:w="100" w:type="dxa"/>
            </w:tcMar>
            <w:vAlign w:val="center"/>
          </w:tcPr>
          <w:p w14:paraId="686B9C60" w14:textId="77777777" w:rsidR="00CD4596" w:rsidRDefault="00000000">
            <w:r>
              <w:rPr>
                <w:b/>
                <w:color w:val="FFFFFF"/>
                <w:sz w:val="17"/>
              </w:rPr>
              <w:t>Domain</w:t>
            </w:r>
          </w:p>
        </w:tc>
        <w:tc>
          <w:tcPr>
            <w:tcW w:w="4300" w:type="dxa"/>
            <w:shd w:val="clear" w:color="auto" w:fill="075A2C"/>
            <w:tcMar>
              <w:top w:w="90" w:type="dxa"/>
              <w:left w:w="100" w:type="dxa"/>
              <w:bottom w:w="90" w:type="dxa"/>
              <w:right w:w="100" w:type="dxa"/>
            </w:tcMar>
            <w:vAlign w:val="center"/>
          </w:tcPr>
          <w:p w14:paraId="035AF95A" w14:textId="77777777" w:rsidR="00CD4596" w:rsidRDefault="00000000">
            <w:r>
              <w:rPr>
                <w:b/>
                <w:color w:val="FFFFFF"/>
                <w:sz w:val="17"/>
              </w:rPr>
              <w:t>Contents</w:t>
            </w:r>
          </w:p>
        </w:tc>
        <w:tc>
          <w:tcPr>
            <w:tcW w:w="3160" w:type="dxa"/>
            <w:shd w:val="clear" w:color="auto" w:fill="075A2C"/>
            <w:tcMar>
              <w:top w:w="90" w:type="dxa"/>
              <w:left w:w="100" w:type="dxa"/>
              <w:bottom w:w="90" w:type="dxa"/>
              <w:right w:w="100" w:type="dxa"/>
            </w:tcMar>
            <w:vAlign w:val="center"/>
          </w:tcPr>
          <w:p w14:paraId="541CA971" w14:textId="77777777" w:rsidR="00CD4596" w:rsidRDefault="00000000">
            <w:r>
              <w:rPr>
                <w:b/>
                <w:color w:val="FFFFFF"/>
                <w:sz w:val="17"/>
              </w:rPr>
              <w:t>Planning question</w:t>
            </w:r>
          </w:p>
        </w:tc>
      </w:tr>
      <w:tr w:rsidR="00CD4596" w14:paraId="53DA1468" w14:textId="77777777">
        <w:trPr>
          <w:cantSplit/>
          <w:jc w:val="center"/>
        </w:trPr>
        <w:tc>
          <w:tcPr>
            <w:tcW w:w="1900" w:type="dxa"/>
          </w:tcPr>
          <w:p w14:paraId="2BC54C31" w14:textId="77777777" w:rsidR="00CD4596" w:rsidRDefault="00000000">
            <w:pPr>
              <w:pStyle w:val="TableText"/>
            </w:pPr>
            <w:r>
              <w:rPr>
                <w:b/>
                <w:color w:val="075A2C"/>
              </w:rPr>
              <w:t>Resource base</w:t>
            </w:r>
          </w:p>
        </w:tc>
        <w:tc>
          <w:tcPr>
            <w:tcW w:w="4300" w:type="dxa"/>
          </w:tcPr>
          <w:p w14:paraId="4B08B104" w14:textId="5A4FC5C3" w:rsidR="00CD4596" w:rsidRDefault="00000000">
            <w:pPr>
              <w:pStyle w:val="TableText"/>
            </w:pPr>
            <w:r>
              <w:t xml:space="preserve">Land, water, </w:t>
            </w:r>
            <w:r w:rsidR="00176DB8">
              <w:t>resources</w:t>
            </w:r>
            <w:r>
              <w:t xml:space="preserve">, </w:t>
            </w:r>
            <w:r w:rsidR="00154B1C">
              <w:t>people</w:t>
            </w:r>
            <w:r>
              <w:t xml:space="preserve">, energy sources, </w:t>
            </w:r>
            <w:r w:rsidR="000C29A3">
              <w:t xml:space="preserve">available infrastructure, </w:t>
            </w:r>
            <w:r>
              <w:t>knowledge</w:t>
            </w:r>
            <w:r w:rsidR="007C4867">
              <w:t xml:space="preserve"> and technology</w:t>
            </w:r>
            <w:r>
              <w:t>, labor and tradable specialist services.</w:t>
            </w:r>
          </w:p>
        </w:tc>
        <w:tc>
          <w:tcPr>
            <w:tcW w:w="3160" w:type="dxa"/>
          </w:tcPr>
          <w:p w14:paraId="277BCFA7" w14:textId="77777777" w:rsidR="00CD4596" w:rsidRDefault="00000000">
            <w:pPr>
              <w:pStyle w:val="TableText"/>
            </w:pPr>
            <w:r>
              <w:t>What is reliably available, at what quality, cost, location and environmental limit?</w:t>
            </w:r>
          </w:p>
        </w:tc>
      </w:tr>
      <w:tr w:rsidR="00CD4596" w14:paraId="04048235" w14:textId="77777777">
        <w:trPr>
          <w:cantSplit/>
          <w:jc w:val="center"/>
        </w:trPr>
        <w:tc>
          <w:tcPr>
            <w:tcW w:w="1900" w:type="dxa"/>
            <w:shd w:val="clear" w:color="auto" w:fill="F3F5F4"/>
          </w:tcPr>
          <w:p w14:paraId="704DB258" w14:textId="77777777" w:rsidR="00CD4596" w:rsidRDefault="00000000">
            <w:pPr>
              <w:pStyle w:val="TableText"/>
            </w:pPr>
            <w:r>
              <w:rPr>
                <w:b/>
                <w:color w:val="075A2C"/>
              </w:rPr>
              <w:t>Productive systems</w:t>
            </w:r>
          </w:p>
        </w:tc>
        <w:tc>
          <w:tcPr>
            <w:tcW w:w="4300" w:type="dxa"/>
            <w:shd w:val="clear" w:color="auto" w:fill="F3F5F4"/>
          </w:tcPr>
          <w:p w14:paraId="6FBFCEA1" w14:textId="53D0D665" w:rsidR="00CD4596" w:rsidRDefault="00000000">
            <w:pPr>
              <w:pStyle w:val="TableText"/>
            </w:pPr>
            <w:r>
              <w:t xml:space="preserve">Agriculture, </w:t>
            </w:r>
            <w:r w:rsidR="007C4867">
              <w:t>production</w:t>
            </w:r>
            <w:r>
              <w:t xml:space="preserve">, </w:t>
            </w:r>
            <w:r w:rsidR="007C4867">
              <w:t>extraction</w:t>
            </w:r>
            <w:r>
              <w:t xml:space="preserve">, construction, </w:t>
            </w:r>
            <w:r w:rsidR="007C4867">
              <w:t>refinement</w:t>
            </w:r>
            <w:r>
              <w:t>, services.</w:t>
            </w:r>
            <w:r w:rsidR="007C4867">
              <w:t xml:space="preserve">,  </w:t>
            </w:r>
          </w:p>
        </w:tc>
        <w:tc>
          <w:tcPr>
            <w:tcW w:w="3160" w:type="dxa"/>
            <w:shd w:val="clear" w:color="auto" w:fill="F3F5F4"/>
          </w:tcPr>
          <w:p w14:paraId="2C66EFA6" w14:textId="77777777" w:rsidR="00CD4596" w:rsidRDefault="00000000">
            <w:pPr>
              <w:pStyle w:val="TableText"/>
            </w:pPr>
            <w:r>
              <w:t>Which goods and services can be produced competitively, and what capabilities are missing?</w:t>
            </w:r>
          </w:p>
        </w:tc>
      </w:tr>
      <w:tr w:rsidR="00CD4596" w14:paraId="243A992F" w14:textId="77777777">
        <w:trPr>
          <w:cantSplit/>
          <w:jc w:val="center"/>
        </w:trPr>
        <w:tc>
          <w:tcPr>
            <w:tcW w:w="1900" w:type="dxa"/>
          </w:tcPr>
          <w:p w14:paraId="3C03E8FF" w14:textId="77777777" w:rsidR="00CD4596" w:rsidRDefault="00000000">
            <w:pPr>
              <w:pStyle w:val="TableText"/>
            </w:pPr>
            <w:r>
              <w:rPr>
                <w:b/>
                <w:color w:val="075A2C"/>
              </w:rPr>
              <w:t>Foundations</w:t>
            </w:r>
          </w:p>
        </w:tc>
        <w:tc>
          <w:tcPr>
            <w:tcW w:w="4300" w:type="dxa"/>
          </w:tcPr>
          <w:p w14:paraId="7D0E4BE2" w14:textId="1C36F6E5" w:rsidR="00CD4596" w:rsidRDefault="007C4867">
            <w:pPr>
              <w:pStyle w:val="TableText"/>
            </w:pPr>
            <w:r>
              <w:t>Healthcare, finance, banking, education, R&amp;D, commerce, recreation, and more</w:t>
            </w:r>
          </w:p>
        </w:tc>
        <w:tc>
          <w:tcPr>
            <w:tcW w:w="3160" w:type="dxa"/>
          </w:tcPr>
          <w:p w14:paraId="288227B8" w14:textId="77777777" w:rsidR="00CD4596" w:rsidRDefault="00000000">
            <w:pPr>
              <w:pStyle w:val="TableText"/>
            </w:pPr>
            <w:r>
              <w:t>Which shared systems constrain multiple sectors, and who will operate and maintain them?</w:t>
            </w:r>
          </w:p>
        </w:tc>
      </w:tr>
      <w:tr w:rsidR="00CD4596" w14:paraId="012540D3" w14:textId="77777777">
        <w:trPr>
          <w:cantSplit/>
          <w:jc w:val="center"/>
        </w:trPr>
        <w:tc>
          <w:tcPr>
            <w:tcW w:w="1900" w:type="dxa"/>
            <w:shd w:val="clear" w:color="auto" w:fill="F3F5F4"/>
          </w:tcPr>
          <w:p w14:paraId="771363A8" w14:textId="77777777" w:rsidR="00CD4596" w:rsidRDefault="00000000">
            <w:pPr>
              <w:pStyle w:val="TableText"/>
            </w:pPr>
            <w:r>
              <w:rPr>
                <w:b/>
                <w:color w:val="075A2C"/>
              </w:rPr>
              <w:t>Support and governance</w:t>
            </w:r>
          </w:p>
        </w:tc>
        <w:tc>
          <w:tcPr>
            <w:tcW w:w="4300" w:type="dxa"/>
            <w:shd w:val="clear" w:color="auto" w:fill="F3F5F4"/>
          </w:tcPr>
          <w:p w14:paraId="3DE31E17" w14:textId="120DA2E0" w:rsidR="00CD4596" w:rsidRDefault="007C4867">
            <w:pPr>
              <w:pStyle w:val="TableText"/>
            </w:pPr>
            <w:r>
              <w:t>Law, government services, civil administration, emergency services, central banking &amp; treasury, logistics, infrastructure, etc.</w:t>
            </w:r>
          </w:p>
        </w:tc>
        <w:tc>
          <w:tcPr>
            <w:tcW w:w="3160" w:type="dxa"/>
            <w:shd w:val="clear" w:color="auto" w:fill="F3F5F4"/>
          </w:tcPr>
          <w:p w14:paraId="4D062E26" w14:textId="663AD72D" w:rsidR="00CD4596" w:rsidRDefault="00000000">
            <w:pPr>
              <w:pStyle w:val="TableText"/>
            </w:pPr>
            <w:r>
              <w:t>C</w:t>
            </w:r>
            <w:r w:rsidR="007C4867">
              <w:t>an the state provide the necessary governance needs and if so, how efficient is it and can it be improved?</w:t>
            </w:r>
          </w:p>
        </w:tc>
      </w:tr>
      <w:tr w:rsidR="00CD4596" w14:paraId="4518447F" w14:textId="77777777">
        <w:trPr>
          <w:cantSplit/>
          <w:jc w:val="center"/>
        </w:trPr>
        <w:tc>
          <w:tcPr>
            <w:tcW w:w="1900" w:type="dxa"/>
          </w:tcPr>
          <w:p w14:paraId="0D348A0A" w14:textId="77777777" w:rsidR="00CD4596" w:rsidRDefault="00000000">
            <w:pPr>
              <w:pStyle w:val="TableText"/>
            </w:pPr>
            <w:r>
              <w:rPr>
                <w:b/>
                <w:color w:val="075A2C"/>
              </w:rPr>
              <w:t>Resilience</w:t>
            </w:r>
          </w:p>
        </w:tc>
        <w:tc>
          <w:tcPr>
            <w:tcW w:w="4300" w:type="dxa"/>
          </w:tcPr>
          <w:p w14:paraId="33A05BA1" w14:textId="77777777" w:rsidR="00CD4596" w:rsidRDefault="00000000">
            <w:pPr>
              <w:pStyle w:val="TableText"/>
            </w:pPr>
            <w:r>
              <w:t>Shock preparedness, redundancy, insurance, strategic stocks, cybersecurity, disaster response and adaptation.</w:t>
            </w:r>
          </w:p>
        </w:tc>
        <w:tc>
          <w:tcPr>
            <w:tcW w:w="3160" w:type="dxa"/>
          </w:tcPr>
          <w:p w14:paraId="29E80518" w14:textId="77777777" w:rsidR="00CD4596" w:rsidRDefault="00000000">
            <w:pPr>
              <w:pStyle w:val="TableText"/>
            </w:pPr>
            <w:r>
              <w:t>How does the system continue or recover when a critical input, market or network is disrupted?</w:t>
            </w:r>
          </w:p>
        </w:tc>
      </w:tr>
    </w:tbl>
    <w:p w14:paraId="4F088501" w14:textId="77777777" w:rsidR="00CD4596" w:rsidRDefault="00000000">
      <w:pPr>
        <w:pStyle w:val="Heading2"/>
      </w:pPr>
      <w:proofErr w:type="gramStart"/>
      <w:r>
        <w:t>3.2  The</w:t>
      </w:r>
      <w:proofErr w:type="gramEnd"/>
      <w:r>
        <w:t xml:space="preserve"> resource and existence chain</w:t>
      </w:r>
    </w:p>
    <w:p w14:paraId="14E356D3" w14:textId="77777777" w:rsidR="00CD4596" w:rsidRDefault="00000000">
      <w:pPr>
        <w:pStyle w:val="BodyText"/>
      </w:pPr>
      <w:r>
        <w:t xml:space="preserve">The original Commercial Economics drafts use the term resource and existence chain for the path through which a good becomes available in society. In established business and development language, this is close to a value-chain and supply-network map. The map begins with natural resources or imported inputs, follows transformation and assembly, and includes transport, standards, finance, maintenance, information and final demand. Its purpose is not only to locate commercial </w:t>
      </w:r>
      <w:proofErr w:type="gramStart"/>
      <w:r>
        <w:t>opportunity</w:t>
      </w:r>
      <w:proofErr w:type="gramEnd"/>
      <w:r>
        <w:t xml:space="preserve">; it is to reveal dependencies and points of failure. </w:t>
      </w:r>
      <w:hyperlink r:id="rId36">
        <w:r w:rsidR="00CD4596">
          <w:rPr>
            <w:color w:val="075A2C"/>
            <w:sz w:val="15"/>
            <w:vertAlign w:val="superscript"/>
          </w:rPr>
          <w:t>[11]</w:t>
        </w:r>
      </w:hyperlink>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1872"/>
        <w:gridCol w:w="1872"/>
        <w:gridCol w:w="1872"/>
        <w:gridCol w:w="1872"/>
        <w:gridCol w:w="1872"/>
      </w:tblGrid>
      <w:tr w:rsidR="00CD4596" w14:paraId="055EEBCD" w14:textId="77777777">
        <w:trPr>
          <w:tblHeader/>
          <w:jc w:val="center"/>
        </w:trPr>
        <w:tc>
          <w:tcPr>
            <w:tcW w:w="1872" w:type="dxa"/>
            <w:shd w:val="clear" w:color="auto" w:fill="075A2C"/>
            <w:tcMar>
              <w:top w:w="90" w:type="dxa"/>
              <w:left w:w="100" w:type="dxa"/>
              <w:bottom w:w="90" w:type="dxa"/>
              <w:right w:w="100" w:type="dxa"/>
            </w:tcMar>
            <w:vAlign w:val="center"/>
          </w:tcPr>
          <w:p w14:paraId="70869FDC" w14:textId="77777777" w:rsidR="00CD4596" w:rsidRDefault="00000000">
            <w:proofErr w:type="gramStart"/>
            <w:r>
              <w:rPr>
                <w:b/>
                <w:color w:val="FFFFFF"/>
                <w:sz w:val="17"/>
              </w:rPr>
              <w:t>1  Inputs</w:t>
            </w:r>
            <w:proofErr w:type="gramEnd"/>
          </w:p>
        </w:tc>
        <w:tc>
          <w:tcPr>
            <w:tcW w:w="1872" w:type="dxa"/>
            <w:shd w:val="clear" w:color="auto" w:fill="075A2C"/>
            <w:tcMar>
              <w:top w:w="90" w:type="dxa"/>
              <w:left w:w="100" w:type="dxa"/>
              <w:bottom w:w="90" w:type="dxa"/>
              <w:right w:w="100" w:type="dxa"/>
            </w:tcMar>
            <w:vAlign w:val="center"/>
          </w:tcPr>
          <w:p w14:paraId="77AFB880" w14:textId="77777777" w:rsidR="00CD4596" w:rsidRDefault="00000000">
            <w:proofErr w:type="gramStart"/>
            <w:r>
              <w:rPr>
                <w:b/>
                <w:color w:val="FFFFFF"/>
                <w:sz w:val="17"/>
              </w:rPr>
              <w:t>2  Transformation</w:t>
            </w:r>
            <w:proofErr w:type="gramEnd"/>
          </w:p>
        </w:tc>
        <w:tc>
          <w:tcPr>
            <w:tcW w:w="1872" w:type="dxa"/>
            <w:shd w:val="clear" w:color="auto" w:fill="075A2C"/>
            <w:tcMar>
              <w:top w:w="90" w:type="dxa"/>
              <w:left w:w="100" w:type="dxa"/>
              <w:bottom w:w="90" w:type="dxa"/>
              <w:right w:w="100" w:type="dxa"/>
            </w:tcMar>
            <w:vAlign w:val="center"/>
          </w:tcPr>
          <w:p w14:paraId="2B45F0D3" w14:textId="77777777" w:rsidR="00CD4596" w:rsidRDefault="00000000">
            <w:proofErr w:type="gramStart"/>
            <w:r>
              <w:rPr>
                <w:b/>
                <w:color w:val="FFFFFF"/>
                <w:sz w:val="17"/>
              </w:rPr>
              <w:t>3  Product</w:t>
            </w:r>
            <w:proofErr w:type="gramEnd"/>
          </w:p>
        </w:tc>
        <w:tc>
          <w:tcPr>
            <w:tcW w:w="1872" w:type="dxa"/>
            <w:shd w:val="clear" w:color="auto" w:fill="075A2C"/>
            <w:tcMar>
              <w:top w:w="90" w:type="dxa"/>
              <w:left w:w="100" w:type="dxa"/>
              <w:bottom w:w="90" w:type="dxa"/>
              <w:right w:w="100" w:type="dxa"/>
            </w:tcMar>
            <w:vAlign w:val="center"/>
          </w:tcPr>
          <w:p w14:paraId="35349EE7" w14:textId="77777777" w:rsidR="00CD4596" w:rsidRDefault="00000000">
            <w:proofErr w:type="gramStart"/>
            <w:r>
              <w:rPr>
                <w:b/>
                <w:color w:val="FFFFFF"/>
                <w:sz w:val="17"/>
              </w:rPr>
              <w:t>4  Delivery</w:t>
            </w:r>
            <w:proofErr w:type="gramEnd"/>
          </w:p>
        </w:tc>
        <w:tc>
          <w:tcPr>
            <w:tcW w:w="1872" w:type="dxa"/>
            <w:shd w:val="clear" w:color="auto" w:fill="075A2C"/>
            <w:tcMar>
              <w:top w:w="90" w:type="dxa"/>
              <w:left w:w="100" w:type="dxa"/>
              <w:bottom w:w="90" w:type="dxa"/>
              <w:right w:w="100" w:type="dxa"/>
            </w:tcMar>
            <w:vAlign w:val="center"/>
          </w:tcPr>
          <w:p w14:paraId="3EC0CC00" w14:textId="77777777" w:rsidR="00CD4596" w:rsidRDefault="00000000">
            <w:proofErr w:type="gramStart"/>
            <w:r>
              <w:rPr>
                <w:b/>
                <w:color w:val="FFFFFF"/>
                <w:sz w:val="17"/>
              </w:rPr>
              <w:t>5  Use</w:t>
            </w:r>
            <w:proofErr w:type="gramEnd"/>
            <w:r>
              <w:rPr>
                <w:b/>
                <w:color w:val="FFFFFF"/>
                <w:sz w:val="17"/>
              </w:rPr>
              <w:t xml:space="preserve"> and recovery</w:t>
            </w:r>
          </w:p>
        </w:tc>
      </w:tr>
      <w:tr w:rsidR="00CD4596" w14:paraId="79AE258B" w14:textId="77777777">
        <w:trPr>
          <w:cantSplit/>
          <w:jc w:val="center"/>
        </w:trPr>
        <w:tc>
          <w:tcPr>
            <w:tcW w:w="1872" w:type="dxa"/>
          </w:tcPr>
          <w:p w14:paraId="2588DC1C" w14:textId="77777777" w:rsidR="00CD4596" w:rsidRDefault="00000000">
            <w:pPr>
              <w:pStyle w:val="TableText"/>
            </w:pPr>
            <w:r>
              <w:rPr>
                <w:b/>
                <w:color w:val="075A2C"/>
              </w:rPr>
              <w:t>Seeds, water, fertilizer, energy, machinery, skills</w:t>
            </w:r>
          </w:p>
        </w:tc>
        <w:tc>
          <w:tcPr>
            <w:tcW w:w="1872" w:type="dxa"/>
          </w:tcPr>
          <w:p w14:paraId="0E70E056" w14:textId="77777777" w:rsidR="00CD4596" w:rsidRDefault="00000000">
            <w:pPr>
              <w:pStyle w:val="TableText"/>
            </w:pPr>
            <w:r>
              <w:t>Farming, grading, storage, milling, testing</w:t>
            </w:r>
          </w:p>
        </w:tc>
        <w:tc>
          <w:tcPr>
            <w:tcW w:w="1872" w:type="dxa"/>
          </w:tcPr>
          <w:p w14:paraId="1B5B05A2" w14:textId="77777777" w:rsidR="00CD4596" w:rsidRDefault="00000000">
            <w:pPr>
              <w:pStyle w:val="TableText"/>
            </w:pPr>
            <w:r>
              <w:t>Flour and food ingredients</w:t>
            </w:r>
          </w:p>
        </w:tc>
        <w:tc>
          <w:tcPr>
            <w:tcW w:w="1872" w:type="dxa"/>
          </w:tcPr>
          <w:p w14:paraId="0DF3C8C8" w14:textId="77777777" w:rsidR="00CD4596" w:rsidRDefault="00000000">
            <w:pPr>
              <w:pStyle w:val="TableText"/>
            </w:pPr>
            <w:r>
              <w:t>Packaging, wholesale, retail, export logistics</w:t>
            </w:r>
          </w:p>
        </w:tc>
        <w:tc>
          <w:tcPr>
            <w:tcW w:w="1872" w:type="dxa"/>
          </w:tcPr>
          <w:p w14:paraId="5C6A6B95" w14:textId="77777777" w:rsidR="00CD4596" w:rsidRDefault="00000000">
            <w:pPr>
              <w:pStyle w:val="TableText"/>
            </w:pPr>
            <w:r>
              <w:t>Consumption, food safety, waste and by-product use</w:t>
            </w:r>
          </w:p>
        </w:tc>
      </w:tr>
    </w:tbl>
    <w:p w14:paraId="28E32D59" w14:textId="77777777" w:rsidR="00CD4596" w:rsidRDefault="00000000">
      <w:pPr>
        <w:spacing w:after="60"/>
      </w:pPr>
      <w:r>
        <w:rPr>
          <w:b/>
          <w:color w:val="2F7D52"/>
          <w:sz w:val="16"/>
        </w:rPr>
        <w:t>WORKED EXAMPLE: A WHEAT-TO-FOOD CHAIN</w:t>
      </w:r>
    </w:p>
    <w:p w14:paraId="2E4F7FE2" w14:textId="77777777" w:rsidR="00CD4596" w:rsidRDefault="00000000">
      <w:pPr>
        <w:pStyle w:val="BodyText"/>
      </w:pPr>
      <w:r>
        <w:t>A chain map should quantify volumes, yields, losses, energy and water use, unit costs, quality standards, foreign exchange requirements, working capital, seasonality and market demand. It should also identify co-products: bran can feed livestock; organic waste may support composting or energy recovery when technically and environmentally sound. This turns a simple sector label</w:t>
      </w:r>
      <w:proofErr w:type="gramStart"/>
      <w:r>
        <w:t>—“</w:t>
      </w:r>
      <w:proofErr w:type="gramEnd"/>
      <w:r>
        <w:t>food industry”—into a project portfolio.</w:t>
      </w:r>
    </w:p>
    <w:p w14:paraId="3AE9BEB1" w14:textId="77777777" w:rsidR="00CD4596" w:rsidRDefault="00000000">
      <w:pPr>
        <w:pStyle w:val="Heading2"/>
      </w:pPr>
      <w:proofErr w:type="gramStart"/>
      <w:r>
        <w:t>3.3  A</w:t>
      </w:r>
      <w:proofErr w:type="gramEnd"/>
      <w:r>
        <w:t xml:space="preserve"> capability ladder, not a universal hierarchy</w:t>
      </w:r>
    </w:p>
    <w:p w14:paraId="344571FB" w14:textId="77777777" w:rsidR="00CD4596" w:rsidRDefault="00000000">
      <w:pPr>
        <w:pStyle w:val="BodyText"/>
      </w:pPr>
      <w:r>
        <w:t xml:space="preserve">Youth’s draft taxonomy distinguishes resource production, simple production, components, assembly, semi-complex, complex and advanced production. The categories are useful for diagnosing learning and supplier depth. They should not be treated as a fixed value hierarchy. A highly productive </w:t>
      </w:r>
      <w:r>
        <w:lastRenderedPageBreak/>
        <w:t xml:space="preserve">agricultural or logistics service can create more value than poorly managed advanced manufacturing. Economic complexity research does, however, support the idea that diverse, difficult-to-replicate capabilities expand the set of products an economy can make. </w:t>
      </w:r>
      <w:hyperlink r:id="rId37">
        <w:r w:rsidR="00CD4596">
          <w:rPr>
            <w:color w:val="075A2C"/>
            <w:sz w:val="15"/>
            <w:vertAlign w:val="superscript"/>
          </w:rPr>
          <w:t>[12]</w:t>
        </w:r>
      </w:hyperlink>
      <w:r>
        <w:t xml:space="preserve"> </w:t>
      </w:r>
      <w:hyperlink r:id="rId38">
        <w:r w:rsidR="00CD4596">
          <w:rPr>
            <w:color w:val="075A2C"/>
            <w:sz w:val="15"/>
            <w:vertAlign w:val="superscript"/>
          </w:rPr>
          <w:t>[10]</w:t>
        </w:r>
      </w:hyperlink>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700"/>
        <w:gridCol w:w="6660"/>
      </w:tblGrid>
      <w:tr w:rsidR="00CD4596" w14:paraId="7C19DA56" w14:textId="77777777">
        <w:trPr>
          <w:tblHeader/>
          <w:jc w:val="center"/>
        </w:trPr>
        <w:tc>
          <w:tcPr>
            <w:tcW w:w="2700" w:type="dxa"/>
            <w:shd w:val="clear" w:color="auto" w:fill="075A2C"/>
            <w:tcMar>
              <w:top w:w="90" w:type="dxa"/>
              <w:left w:w="100" w:type="dxa"/>
              <w:bottom w:w="90" w:type="dxa"/>
              <w:right w:w="100" w:type="dxa"/>
            </w:tcMar>
            <w:vAlign w:val="center"/>
          </w:tcPr>
          <w:p w14:paraId="67327050" w14:textId="77777777" w:rsidR="00CD4596" w:rsidRDefault="00000000">
            <w:r>
              <w:rPr>
                <w:b/>
                <w:color w:val="FFFFFF"/>
                <w:sz w:val="18"/>
              </w:rPr>
              <w:t>Capability layer</w:t>
            </w:r>
          </w:p>
        </w:tc>
        <w:tc>
          <w:tcPr>
            <w:tcW w:w="6660" w:type="dxa"/>
            <w:shd w:val="clear" w:color="auto" w:fill="075A2C"/>
            <w:tcMar>
              <w:top w:w="90" w:type="dxa"/>
              <w:left w:w="100" w:type="dxa"/>
              <w:bottom w:w="90" w:type="dxa"/>
              <w:right w:w="100" w:type="dxa"/>
            </w:tcMar>
            <w:vAlign w:val="center"/>
          </w:tcPr>
          <w:p w14:paraId="150BADDE" w14:textId="77777777" w:rsidR="00CD4596" w:rsidRDefault="00000000">
            <w:r>
              <w:rPr>
                <w:b/>
                <w:color w:val="FFFFFF"/>
                <w:sz w:val="18"/>
              </w:rPr>
              <w:t>Practical meaning</w:t>
            </w:r>
          </w:p>
        </w:tc>
      </w:tr>
      <w:tr w:rsidR="00CD4596" w14:paraId="611CBA09" w14:textId="77777777">
        <w:trPr>
          <w:cantSplit/>
          <w:jc w:val="center"/>
        </w:trPr>
        <w:tc>
          <w:tcPr>
            <w:tcW w:w="2700" w:type="dxa"/>
          </w:tcPr>
          <w:p w14:paraId="06DA1A65" w14:textId="77777777" w:rsidR="00CD4596" w:rsidRDefault="00000000">
            <w:pPr>
              <w:pStyle w:val="TableText"/>
            </w:pPr>
            <w:r>
              <w:rPr>
                <w:b/>
                <w:color w:val="075A2C"/>
              </w:rPr>
              <w:t>Resource and primary production</w:t>
            </w:r>
          </w:p>
        </w:tc>
        <w:tc>
          <w:tcPr>
            <w:tcW w:w="6660" w:type="dxa"/>
          </w:tcPr>
          <w:p w14:paraId="78333F9F" w14:textId="77777777" w:rsidR="00CD4596" w:rsidRDefault="00000000">
            <w:pPr>
              <w:pStyle w:val="TableText"/>
            </w:pPr>
            <w:r>
              <w:t>Crops, livestock, quarrying, basic extraction and tradable natural-resource services.</w:t>
            </w:r>
          </w:p>
        </w:tc>
      </w:tr>
      <w:tr w:rsidR="00CD4596" w14:paraId="137B9EBE" w14:textId="77777777">
        <w:trPr>
          <w:cantSplit/>
          <w:jc w:val="center"/>
        </w:trPr>
        <w:tc>
          <w:tcPr>
            <w:tcW w:w="2700" w:type="dxa"/>
            <w:shd w:val="clear" w:color="auto" w:fill="F3F5F4"/>
          </w:tcPr>
          <w:p w14:paraId="2619CE1A" w14:textId="77777777" w:rsidR="00CD4596" w:rsidRDefault="00000000">
            <w:pPr>
              <w:pStyle w:val="TableText"/>
            </w:pPr>
            <w:r>
              <w:rPr>
                <w:b/>
                <w:color w:val="075A2C"/>
              </w:rPr>
              <w:t>Simple production</w:t>
            </w:r>
          </w:p>
        </w:tc>
        <w:tc>
          <w:tcPr>
            <w:tcW w:w="6660" w:type="dxa"/>
            <w:shd w:val="clear" w:color="auto" w:fill="F3F5F4"/>
          </w:tcPr>
          <w:p w14:paraId="47048553" w14:textId="77777777" w:rsidR="00CD4596" w:rsidRDefault="00000000">
            <w:pPr>
              <w:pStyle w:val="TableText"/>
            </w:pPr>
            <w:r>
              <w:t>Basic standardized goods with limited component depth, such as blocks, simple furniture or packaging.</w:t>
            </w:r>
          </w:p>
        </w:tc>
      </w:tr>
      <w:tr w:rsidR="00CD4596" w14:paraId="14EF5CB4" w14:textId="77777777">
        <w:trPr>
          <w:cantSplit/>
          <w:jc w:val="center"/>
        </w:trPr>
        <w:tc>
          <w:tcPr>
            <w:tcW w:w="2700" w:type="dxa"/>
          </w:tcPr>
          <w:p w14:paraId="08858D7C" w14:textId="77777777" w:rsidR="00CD4596" w:rsidRDefault="00000000">
            <w:pPr>
              <w:pStyle w:val="TableText"/>
            </w:pPr>
            <w:r>
              <w:rPr>
                <w:b/>
                <w:color w:val="075A2C"/>
              </w:rPr>
              <w:t>Components and pathway production</w:t>
            </w:r>
          </w:p>
        </w:tc>
        <w:tc>
          <w:tcPr>
            <w:tcW w:w="6660" w:type="dxa"/>
          </w:tcPr>
          <w:p w14:paraId="069172D7" w14:textId="77777777" w:rsidR="00CD4596" w:rsidRDefault="00000000">
            <w:pPr>
              <w:pStyle w:val="TableText"/>
            </w:pPr>
            <w:r>
              <w:t>Parts, materials, tooling, chemicals and intermediate services used by other producers.</w:t>
            </w:r>
          </w:p>
        </w:tc>
      </w:tr>
      <w:tr w:rsidR="00CD4596" w14:paraId="78D712C5" w14:textId="77777777">
        <w:trPr>
          <w:cantSplit/>
          <w:jc w:val="center"/>
        </w:trPr>
        <w:tc>
          <w:tcPr>
            <w:tcW w:w="2700" w:type="dxa"/>
            <w:shd w:val="clear" w:color="auto" w:fill="F3F5F4"/>
          </w:tcPr>
          <w:p w14:paraId="3DC41A84" w14:textId="77777777" w:rsidR="00CD4596" w:rsidRDefault="00000000">
            <w:pPr>
              <w:pStyle w:val="TableText"/>
            </w:pPr>
            <w:r>
              <w:rPr>
                <w:b/>
                <w:color w:val="075A2C"/>
              </w:rPr>
              <w:t>Assembly</w:t>
            </w:r>
          </w:p>
        </w:tc>
        <w:tc>
          <w:tcPr>
            <w:tcW w:w="6660" w:type="dxa"/>
            <w:shd w:val="clear" w:color="auto" w:fill="F3F5F4"/>
          </w:tcPr>
          <w:p w14:paraId="273A0B7A" w14:textId="2B959FF7" w:rsidR="00CD4596" w:rsidRDefault="00000000">
            <w:pPr>
              <w:pStyle w:val="TableText"/>
            </w:pPr>
            <w:r>
              <w:t>Combining purchased components; valuable for market entry but limited if learning and local supplier depth do</w:t>
            </w:r>
            <w:r w:rsidR="008E5833">
              <w:t>es</w:t>
            </w:r>
            <w:r>
              <w:t xml:space="preserve"> not grow</w:t>
            </w:r>
            <w:r w:rsidR="00FD1DD5">
              <w:t xml:space="preserve"> due </w:t>
            </w:r>
            <w:r w:rsidR="00E377BA">
              <w:t xml:space="preserve">to low profit margin from purchasing all parts and importing it rather than </w:t>
            </w:r>
            <w:r w:rsidR="005B1D54">
              <w:t xml:space="preserve">independent brand/technology, </w:t>
            </w:r>
            <w:r w:rsidR="00E377BA">
              <w:t>domestic production</w:t>
            </w:r>
            <w:r w:rsidR="002370A5">
              <w:t>,</w:t>
            </w:r>
            <w:r w:rsidR="00E377BA">
              <w:t xml:space="preserve"> and sourcing.</w:t>
            </w:r>
          </w:p>
        </w:tc>
      </w:tr>
      <w:tr w:rsidR="00CD4596" w14:paraId="0BDD824A" w14:textId="77777777">
        <w:trPr>
          <w:cantSplit/>
          <w:jc w:val="center"/>
        </w:trPr>
        <w:tc>
          <w:tcPr>
            <w:tcW w:w="2700" w:type="dxa"/>
          </w:tcPr>
          <w:p w14:paraId="6DF80C65" w14:textId="77777777" w:rsidR="00CD4596" w:rsidRDefault="00000000">
            <w:pPr>
              <w:pStyle w:val="TableText"/>
            </w:pPr>
            <w:r>
              <w:rPr>
                <w:b/>
                <w:color w:val="075A2C"/>
              </w:rPr>
              <w:t>Semi-complex production</w:t>
            </w:r>
          </w:p>
        </w:tc>
        <w:tc>
          <w:tcPr>
            <w:tcW w:w="6660" w:type="dxa"/>
          </w:tcPr>
          <w:p w14:paraId="60007035" w14:textId="77777777" w:rsidR="00CD4596" w:rsidRDefault="00000000">
            <w:pPr>
              <w:pStyle w:val="TableText"/>
            </w:pPr>
            <w:r>
              <w:t>Products requiring repeatable technical control, testing, tooling and skilled maintenance.</w:t>
            </w:r>
          </w:p>
        </w:tc>
      </w:tr>
      <w:tr w:rsidR="00CD4596" w14:paraId="6B117688" w14:textId="77777777">
        <w:trPr>
          <w:cantSplit/>
          <w:jc w:val="center"/>
        </w:trPr>
        <w:tc>
          <w:tcPr>
            <w:tcW w:w="2700" w:type="dxa"/>
            <w:shd w:val="clear" w:color="auto" w:fill="F3F5F4"/>
          </w:tcPr>
          <w:p w14:paraId="4BDC0CFA" w14:textId="77777777" w:rsidR="00CD4596" w:rsidRDefault="00000000">
            <w:pPr>
              <w:pStyle w:val="TableText"/>
            </w:pPr>
            <w:r>
              <w:rPr>
                <w:b/>
                <w:color w:val="075A2C"/>
              </w:rPr>
              <w:t>Complex production</w:t>
            </w:r>
          </w:p>
        </w:tc>
        <w:tc>
          <w:tcPr>
            <w:tcW w:w="6660" w:type="dxa"/>
            <w:shd w:val="clear" w:color="auto" w:fill="F3F5F4"/>
          </w:tcPr>
          <w:p w14:paraId="53EAA038" w14:textId="77777777" w:rsidR="00CD4596" w:rsidRDefault="00000000">
            <w:pPr>
              <w:pStyle w:val="TableText"/>
            </w:pPr>
            <w:r>
              <w:t>Machines, vehicles, medical equipment, pharmaceuticals and systems with many interdependent components.</w:t>
            </w:r>
          </w:p>
        </w:tc>
      </w:tr>
      <w:tr w:rsidR="00CD4596" w14:paraId="03BA7C4B" w14:textId="77777777">
        <w:trPr>
          <w:cantSplit/>
          <w:jc w:val="center"/>
        </w:trPr>
        <w:tc>
          <w:tcPr>
            <w:tcW w:w="2700" w:type="dxa"/>
          </w:tcPr>
          <w:p w14:paraId="17FD38B8" w14:textId="77777777" w:rsidR="00CD4596" w:rsidRDefault="00000000">
            <w:pPr>
              <w:pStyle w:val="TableText"/>
            </w:pPr>
            <w:r>
              <w:rPr>
                <w:b/>
                <w:color w:val="075A2C"/>
              </w:rPr>
              <w:t>Advanced production</w:t>
            </w:r>
          </w:p>
        </w:tc>
        <w:tc>
          <w:tcPr>
            <w:tcW w:w="6660" w:type="dxa"/>
          </w:tcPr>
          <w:p w14:paraId="6875A151" w14:textId="77777777" w:rsidR="00CD4596" w:rsidRDefault="00000000">
            <w:pPr>
              <w:pStyle w:val="TableText"/>
            </w:pPr>
            <w:r>
              <w:t>Frontier products or processes with high R&amp;D intensity, precision, software and difficult-to-copy knowledge.</w:t>
            </w:r>
          </w:p>
        </w:tc>
      </w:tr>
    </w:tbl>
    <w:p w14:paraId="243EF0E3" w14:textId="77777777" w:rsidR="00CD4596" w:rsidRDefault="00000000">
      <w:pPr>
        <w:pStyle w:val="Heading2"/>
      </w:pPr>
      <w:proofErr w:type="gramStart"/>
      <w:r>
        <w:t>3.4  The</w:t>
      </w:r>
      <w:proofErr w:type="gramEnd"/>
      <w:r>
        <w:t xml:space="preserve"> two hands: governance and exchange</w:t>
      </w:r>
    </w:p>
    <w:p w14:paraId="1DABEB51" w14:textId="77777777" w:rsidR="00CD4596" w:rsidRDefault="00000000">
      <w:pPr>
        <w:pStyle w:val="BodyText"/>
      </w:pPr>
      <w:r>
        <w:t xml:space="preserve">The source manuscript describes a ruling hand and a bartering hand. In rigorous terms, these are the governance system and the exchange system. The governance system establishes law, public goods, standards, taxation, safety and strategic coordination. The exchange system consists of voluntary transactions among households, firms, investors and workers. Productive development requires both. Markets carry dispersed information and competitive pressure; capable institutions address public goods, externalities, monopoly, information gaps and coordination failures. </w:t>
      </w:r>
      <w:hyperlink r:id="rId39">
        <w:r w:rsidR="00CD4596">
          <w:rPr>
            <w:color w:val="075A2C"/>
            <w:sz w:val="15"/>
            <w:vertAlign w:val="superscript"/>
          </w:rPr>
          <w:t>[13]</w:t>
        </w:r>
      </w:hyperlink>
      <w:r>
        <w:t xml:space="preserve"> </w:t>
      </w:r>
      <w:hyperlink r:id="rId40">
        <w:r w:rsidR="00CD4596">
          <w:rPr>
            <w:color w:val="075A2C"/>
            <w:sz w:val="15"/>
            <w:vertAlign w:val="superscript"/>
          </w:rPr>
          <w:t>[27]</w:t>
        </w:r>
      </w:hyperlink>
    </w:p>
    <w:p w14:paraId="676F3467" w14:textId="77777777" w:rsidR="00CD4596" w:rsidRDefault="00000000">
      <w:pPr>
        <w:pStyle w:val="Heading2"/>
      </w:pPr>
      <w:proofErr w:type="gramStart"/>
      <w:r>
        <w:t>3.5  The</w:t>
      </w:r>
      <w:proofErr w:type="gramEnd"/>
      <w:r>
        <w:t xml:space="preserve"> productive habitat</w:t>
      </w:r>
    </w:p>
    <w:p w14:paraId="303A332D" w14:textId="77777777" w:rsidR="00CD4596" w:rsidRDefault="00000000">
      <w:pPr>
        <w:pStyle w:val="BodyText"/>
      </w:pPr>
      <w:r>
        <w:t xml:space="preserve">The draft concept of migratory business captures a real feature of economic geography: firms move or expand where they can reach customers, skills, suppliers, infrastructure and predictable rules at acceptable cost and risk. Commercial Economics calls this bundle the productive habitat. Policy should improve the habitat instead of assuming that incentives alone can compensate permanently for weak logistics, housing, services or governance. </w:t>
      </w:r>
      <w:hyperlink r:id="rId41">
        <w:r w:rsidR="00CD4596">
          <w:rPr>
            <w:color w:val="075A2C"/>
            <w:sz w:val="15"/>
            <w:vertAlign w:val="superscript"/>
          </w:rPr>
          <w:t>[19]</w:t>
        </w:r>
      </w:hyperlink>
      <w:r>
        <w:t xml:space="preserve"> </w:t>
      </w:r>
      <w:hyperlink r:id="rId42">
        <w:r w:rsidR="00CD4596">
          <w:rPr>
            <w:color w:val="075A2C"/>
            <w:sz w:val="15"/>
            <w:vertAlign w:val="superscript"/>
          </w:rPr>
          <w:t>[18]</w:t>
        </w:r>
      </w:hyperlink>
    </w:p>
    <w:p w14:paraId="43CA246F" w14:textId="77777777" w:rsidR="00CD4596" w:rsidRDefault="00000000">
      <w:pPr>
        <w:pStyle w:val="Heading1"/>
        <w:pageBreakBefore/>
        <w:pBdr>
          <w:bottom w:val="single" w:sz="6" w:space="6" w:color="CFE5D7"/>
        </w:pBdr>
      </w:pPr>
      <w:proofErr w:type="gramStart"/>
      <w:r>
        <w:rPr>
          <w:color w:val="2F7D52"/>
        </w:rPr>
        <w:lastRenderedPageBreak/>
        <w:t xml:space="preserve">04  </w:t>
      </w:r>
      <w:r>
        <w:t>The</w:t>
      </w:r>
      <w:proofErr w:type="gramEnd"/>
      <w:r>
        <w:t xml:space="preserve"> Commercial Economics method</w:t>
      </w:r>
    </w:p>
    <w:p w14:paraId="3CE47D0F" w14:textId="77777777" w:rsidR="00CD4596" w:rsidRDefault="00000000">
      <w:pPr>
        <w:pStyle w:val="ChapterSubtitle"/>
      </w:pPr>
      <w:r>
        <w:t>The framework becomes operational through a staged R&amp;D process with explicit decision gates.</w:t>
      </w:r>
    </w:p>
    <w:p w14:paraId="249E6DE9" w14:textId="77777777" w:rsidR="00CD4596" w:rsidRDefault="00000000">
      <w:pPr>
        <w:pStyle w:val="Heading2"/>
      </w:pPr>
      <w:proofErr w:type="gramStart"/>
      <w:r>
        <w:t>4.1  The</w:t>
      </w:r>
      <w:proofErr w:type="gramEnd"/>
      <w:r>
        <w:t xml:space="preserve"> six-stage cycle</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1650"/>
        <w:gridCol w:w="4850"/>
        <w:gridCol w:w="2860"/>
      </w:tblGrid>
      <w:tr w:rsidR="00CD4596" w14:paraId="1F867E9E" w14:textId="77777777">
        <w:trPr>
          <w:tblHeader/>
          <w:jc w:val="center"/>
        </w:trPr>
        <w:tc>
          <w:tcPr>
            <w:tcW w:w="1650" w:type="dxa"/>
            <w:shd w:val="clear" w:color="auto" w:fill="075A2C"/>
            <w:tcMar>
              <w:top w:w="90" w:type="dxa"/>
              <w:left w:w="100" w:type="dxa"/>
              <w:bottom w:w="90" w:type="dxa"/>
              <w:right w:w="100" w:type="dxa"/>
            </w:tcMar>
            <w:vAlign w:val="center"/>
          </w:tcPr>
          <w:p w14:paraId="6CEB45BB" w14:textId="77777777" w:rsidR="00CD4596" w:rsidRDefault="00000000">
            <w:r>
              <w:rPr>
                <w:b/>
                <w:color w:val="FFFFFF"/>
                <w:sz w:val="17"/>
              </w:rPr>
              <w:t>Stage</w:t>
            </w:r>
          </w:p>
        </w:tc>
        <w:tc>
          <w:tcPr>
            <w:tcW w:w="4850" w:type="dxa"/>
            <w:shd w:val="clear" w:color="auto" w:fill="075A2C"/>
            <w:tcMar>
              <w:top w:w="90" w:type="dxa"/>
              <w:left w:w="100" w:type="dxa"/>
              <w:bottom w:w="90" w:type="dxa"/>
              <w:right w:w="100" w:type="dxa"/>
            </w:tcMar>
            <w:vAlign w:val="center"/>
          </w:tcPr>
          <w:p w14:paraId="18DEF8B8" w14:textId="77777777" w:rsidR="00CD4596" w:rsidRDefault="00000000">
            <w:r>
              <w:rPr>
                <w:b/>
                <w:color w:val="FFFFFF"/>
                <w:sz w:val="17"/>
              </w:rPr>
              <w:t>Core work</w:t>
            </w:r>
          </w:p>
        </w:tc>
        <w:tc>
          <w:tcPr>
            <w:tcW w:w="2860" w:type="dxa"/>
            <w:shd w:val="clear" w:color="auto" w:fill="075A2C"/>
            <w:tcMar>
              <w:top w:w="90" w:type="dxa"/>
              <w:left w:w="100" w:type="dxa"/>
              <w:bottom w:w="90" w:type="dxa"/>
              <w:right w:w="100" w:type="dxa"/>
            </w:tcMar>
            <w:vAlign w:val="center"/>
          </w:tcPr>
          <w:p w14:paraId="3CF85FF8" w14:textId="77777777" w:rsidR="00CD4596" w:rsidRDefault="00000000">
            <w:r>
              <w:rPr>
                <w:b/>
                <w:color w:val="FFFFFF"/>
                <w:sz w:val="17"/>
              </w:rPr>
              <w:t>Decision gate</w:t>
            </w:r>
          </w:p>
        </w:tc>
      </w:tr>
      <w:tr w:rsidR="00CD4596" w14:paraId="5B153EEF" w14:textId="77777777">
        <w:trPr>
          <w:cantSplit/>
          <w:jc w:val="center"/>
        </w:trPr>
        <w:tc>
          <w:tcPr>
            <w:tcW w:w="1650" w:type="dxa"/>
          </w:tcPr>
          <w:p w14:paraId="05B43EDB" w14:textId="77777777" w:rsidR="00CD4596" w:rsidRDefault="00000000">
            <w:pPr>
              <w:pStyle w:val="TableText"/>
            </w:pPr>
            <w:proofErr w:type="gramStart"/>
            <w:r>
              <w:rPr>
                <w:b/>
                <w:color w:val="075A2C"/>
              </w:rPr>
              <w:t>1  Diagnose</w:t>
            </w:r>
            <w:proofErr w:type="gramEnd"/>
            <w:r>
              <w:rPr>
                <w:b/>
                <w:color w:val="075A2C"/>
              </w:rPr>
              <w:t xml:space="preserve"> the place</w:t>
            </w:r>
          </w:p>
        </w:tc>
        <w:tc>
          <w:tcPr>
            <w:tcW w:w="4850" w:type="dxa"/>
          </w:tcPr>
          <w:p w14:paraId="6EDC07A9" w14:textId="77777777" w:rsidR="00CD4596" w:rsidRDefault="00000000">
            <w:pPr>
              <w:pStyle w:val="TableText"/>
            </w:pPr>
            <w:r>
              <w:t>Map geography, people, institutions, infrastructure, environment, markets and binding constraints.</w:t>
            </w:r>
          </w:p>
        </w:tc>
        <w:tc>
          <w:tcPr>
            <w:tcW w:w="2860" w:type="dxa"/>
          </w:tcPr>
          <w:p w14:paraId="0A1ECFC4" w14:textId="77777777" w:rsidR="00CD4596" w:rsidRDefault="00000000">
            <w:pPr>
              <w:pStyle w:val="TableText"/>
            </w:pPr>
            <w:r>
              <w:t>Is the problem precisely defined and evidenced?</w:t>
            </w:r>
          </w:p>
        </w:tc>
      </w:tr>
      <w:tr w:rsidR="00CD4596" w14:paraId="13EF7C8C" w14:textId="77777777">
        <w:trPr>
          <w:cantSplit/>
          <w:jc w:val="center"/>
        </w:trPr>
        <w:tc>
          <w:tcPr>
            <w:tcW w:w="1650" w:type="dxa"/>
            <w:shd w:val="clear" w:color="auto" w:fill="F3F5F4"/>
          </w:tcPr>
          <w:p w14:paraId="591C4185" w14:textId="77777777" w:rsidR="00CD4596" w:rsidRDefault="00000000">
            <w:pPr>
              <w:pStyle w:val="TableText"/>
            </w:pPr>
            <w:proofErr w:type="gramStart"/>
            <w:r>
              <w:rPr>
                <w:b/>
                <w:color w:val="075A2C"/>
              </w:rPr>
              <w:t>2  Map</w:t>
            </w:r>
            <w:proofErr w:type="gramEnd"/>
            <w:r>
              <w:rPr>
                <w:b/>
                <w:color w:val="075A2C"/>
              </w:rPr>
              <w:t xml:space="preserve"> chains and gaps</w:t>
            </w:r>
          </w:p>
        </w:tc>
        <w:tc>
          <w:tcPr>
            <w:tcW w:w="4850" w:type="dxa"/>
            <w:shd w:val="clear" w:color="auto" w:fill="F3F5F4"/>
          </w:tcPr>
          <w:p w14:paraId="2C0A7E55" w14:textId="77777777" w:rsidR="00CD4596" w:rsidRDefault="00000000">
            <w:pPr>
              <w:pStyle w:val="TableText"/>
            </w:pPr>
            <w:r>
              <w:t>Trace inputs, capabilities, demand, suppliers, logistics, foreign exchange and missing links.</w:t>
            </w:r>
          </w:p>
        </w:tc>
        <w:tc>
          <w:tcPr>
            <w:tcW w:w="2860" w:type="dxa"/>
            <w:shd w:val="clear" w:color="auto" w:fill="F3F5F4"/>
          </w:tcPr>
          <w:p w14:paraId="299D55C0" w14:textId="77777777" w:rsidR="00CD4596" w:rsidRDefault="00000000">
            <w:pPr>
              <w:pStyle w:val="TableText"/>
            </w:pPr>
            <w:r>
              <w:t>Is there a credible customer and capability case?</w:t>
            </w:r>
          </w:p>
        </w:tc>
      </w:tr>
      <w:tr w:rsidR="00CD4596" w14:paraId="640B9D33" w14:textId="77777777">
        <w:trPr>
          <w:cantSplit/>
          <w:jc w:val="center"/>
        </w:trPr>
        <w:tc>
          <w:tcPr>
            <w:tcW w:w="1650" w:type="dxa"/>
          </w:tcPr>
          <w:p w14:paraId="6589B982" w14:textId="77777777" w:rsidR="00CD4596" w:rsidRDefault="00000000">
            <w:pPr>
              <w:pStyle w:val="TableText"/>
            </w:pPr>
            <w:proofErr w:type="gramStart"/>
            <w:r>
              <w:rPr>
                <w:b/>
                <w:color w:val="075A2C"/>
              </w:rPr>
              <w:t>3  Design</w:t>
            </w:r>
            <w:proofErr w:type="gramEnd"/>
            <w:r>
              <w:rPr>
                <w:b/>
                <w:color w:val="075A2C"/>
              </w:rPr>
              <w:t xml:space="preserve"> the portfolio</w:t>
            </w:r>
          </w:p>
        </w:tc>
        <w:tc>
          <w:tcPr>
            <w:tcW w:w="4850" w:type="dxa"/>
          </w:tcPr>
          <w:p w14:paraId="6F9EA856" w14:textId="77777777" w:rsidR="00CD4596" w:rsidRDefault="00000000">
            <w:pPr>
              <w:pStyle w:val="TableText"/>
            </w:pPr>
            <w:r>
              <w:t>Combine anchors, suppliers, services, housing and shared infrastructure in a sequenced portfolio.</w:t>
            </w:r>
          </w:p>
        </w:tc>
        <w:tc>
          <w:tcPr>
            <w:tcW w:w="2860" w:type="dxa"/>
          </w:tcPr>
          <w:p w14:paraId="34ACCB9A" w14:textId="77777777" w:rsidR="00CD4596" w:rsidRDefault="00000000">
            <w:pPr>
              <w:pStyle w:val="TableText"/>
            </w:pPr>
            <w:r>
              <w:t>Do projects reinforce one another without circular assumptions?</w:t>
            </w:r>
          </w:p>
        </w:tc>
      </w:tr>
      <w:tr w:rsidR="00CD4596" w14:paraId="7352410B" w14:textId="77777777">
        <w:trPr>
          <w:cantSplit/>
          <w:jc w:val="center"/>
        </w:trPr>
        <w:tc>
          <w:tcPr>
            <w:tcW w:w="1650" w:type="dxa"/>
            <w:shd w:val="clear" w:color="auto" w:fill="F3F5F4"/>
          </w:tcPr>
          <w:p w14:paraId="2C9A8798" w14:textId="77777777" w:rsidR="00CD4596" w:rsidRDefault="00000000">
            <w:pPr>
              <w:pStyle w:val="TableText"/>
            </w:pPr>
            <w:proofErr w:type="gramStart"/>
            <w:r>
              <w:rPr>
                <w:b/>
                <w:color w:val="075A2C"/>
              </w:rPr>
              <w:t>4  Test</w:t>
            </w:r>
            <w:proofErr w:type="gramEnd"/>
            <w:r>
              <w:rPr>
                <w:b/>
                <w:color w:val="075A2C"/>
              </w:rPr>
              <w:t xml:space="preserve"> feasibility</w:t>
            </w:r>
          </w:p>
        </w:tc>
        <w:tc>
          <w:tcPr>
            <w:tcW w:w="4850" w:type="dxa"/>
            <w:shd w:val="clear" w:color="auto" w:fill="F3F5F4"/>
          </w:tcPr>
          <w:p w14:paraId="3F50926F" w14:textId="77777777" w:rsidR="00CD4596" w:rsidRDefault="00000000">
            <w:pPr>
              <w:pStyle w:val="TableText"/>
            </w:pPr>
            <w:r>
              <w:t>Technical, market, financial, fiscal, legal, environmental, social and operational analysis.</w:t>
            </w:r>
          </w:p>
        </w:tc>
        <w:tc>
          <w:tcPr>
            <w:tcW w:w="2860" w:type="dxa"/>
            <w:shd w:val="clear" w:color="auto" w:fill="F3F5F4"/>
          </w:tcPr>
          <w:p w14:paraId="110E795B" w14:textId="77777777" w:rsidR="00CD4596" w:rsidRDefault="00000000">
            <w:pPr>
              <w:pStyle w:val="TableText"/>
            </w:pPr>
            <w:r>
              <w:t>Is downside risk understood and allocated?</w:t>
            </w:r>
          </w:p>
        </w:tc>
      </w:tr>
      <w:tr w:rsidR="00CD4596" w14:paraId="2D1F24AB" w14:textId="77777777">
        <w:trPr>
          <w:cantSplit/>
          <w:jc w:val="center"/>
        </w:trPr>
        <w:tc>
          <w:tcPr>
            <w:tcW w:w="1650" w:type="dxa"/>
          </w:tcPr>
          <w:p w14:paraId="35962A8C" w14:textId="77777777" w:rsidR="00CD4596" w:rsidRDefault="00000000">
            <w:pPr>
              <w:pStyle w:val="TableText"/>
            </w:pPr>
            <w:proofErr w:type="gramStart"/>
            <w:r>
              <w:rPr>
                <w:b/>
                <w:color w:val="075A2C"/>
              </w:rPr>
              <w:t>5  Pilot</w:t>
            </w:r>
            <w:proofErr w:type="gramEnd"/>
            <w:r>
              <w:rPr>
                <w:b/>
                <w:color w:val="075A2C"/>
              </w:rPr>
              <w:t xml:space="preserve"> and deliver</w:t>
            </w:r>
          </w:p>
        </w:tc>
        <w:tc>
          <w:tcPr>
            <w:tcW w:w="4850" w:type="dxa"/>
          </w:tcPr>
          <w:p w14:paraId="5CEB17E5" w14:textId="77777777" w:rsidR="00CD4596" w:rsidRDefault="00000000">
            <w:pPr>
              <w:pStyle w:val="TableText"/>
            </w:pPr>
            <w:r>
              <w:t>Use milestone contracts, data systems, independent engineering and phased capital release.</w:t>
            </w:r>
          </w:p>
        </w:tc>
        <w:tc>
          <w:tcPr>
            <w:tcW w:w="2860" w:type="dxa"/>
          </w:tcPr>
          <w:p w14:paraId="4200A0A1" w14:textId="77777777" w:rsidR="00CD4596" w:rsidRDefault="00000000">
            <w:pPr>
              <w:pStyle w:val="TableText"/>
            </w:pPr>
            <w:r>
              <w:t>Has the pilot met pre-agreed thresholds?</w:t>
            </w:r>
          </w:p>
        </w:tc>
      </w:tr>
      <w:tr w:rsidR="00CD4596" w14:paraId="6184B258" w14:textId="77777777">
        <w:trPr>
          <w:cantSplit/>
          <w:jc w:val="center"/>
        </w:trPr>
        <w:tc>
          <w:tcPr>
            <w:tcW w:w="1650" w:type="dxa"/>
            <w:shd w:val="clear" w:color="auto" w:fill="F3F5F4"/>
          </w:tcPr>
          <w:p w14:paraId="1ECE8858" w14:textId="77777777" w:rsidR="00CD4596" w:rsidRDefault="00000000">
            <w:pPr>
              <w:pStyle w:val="TableText"/>
            </w:pPr>
            <w:proofErr w:type="gramStart"/>
            <w:r>
              <w:rPr>
                <w:b/>
                <w:color w:val="075A2C"/>
              </w:rPr>
              <w:t>6  Measure</w:t>
            </w:r>
            <w:proofErr w:type="gramEnd"/>
            <w:r>
              <w:rPr>
                <w:b/>
                <w:color w:val="075A2C"/>
              </w:rPr>
              <w:t xml:space="preserve"> and adapt</w:t>
            </w:r>
          </w:p>
        </w:tc>
        <w:tc>
          <w:tcPr>
            <w:tcW w:w="4850" w:type="dxa"/>
            <w:shd w:val="clear" w:color="auto" w:fill="F3F5F4"/>
          </w:tcPr>
          <w:p w14:paraId="745151BC" w14:textId="77777777" w:rsidR="00CD4596" w:rsidRDefault="00000000">
            <w:pPr>
              <w:pStyle w:val="TableText"/>
            </w:pPr>
            <w:r>
              <w:t>Compare outcomes with baseline, publish lessons, redesign weak elements and scale proven ones.</w:t>
            </w:r>
          </w:p>
        </w:tc>
        <w:tc>
          <w:tcPr>
            <w:tcW w:w="2860" w:type="dxa"/>
            <w:shd w:val="clear" w:color="auto" w:fill="F3F5F4"/>
          </w:tcPr>
          <w:p w14:paraId="6EB99B38" w14:textId="77777777" w:rsidR="00CD4596" w:rsidRDefault="00000000">
            <w:pPr>
              <w:pStyle w:val="TableText"/>
            </w:pPr>
            <w:r>
              <w:t>Should the intervention scale, change or stop?</w:t>
            </w:r>
          </w:p>
        </w:tc>
      </w:tr>
    </w:tbl>
    <w:p w14:paraId="3ABAD5AD" w14:textId="6AF5A268" w:rsidR="00CD4596" w:rsidRDefault="00000000">
      <w:pPr>
        <w:pStyle w:val="Heading2"/>
      </w:pPr>
      <w:proofErr w:type="gramStart"/>
      <w:r>
        <w:t>4.2  The</w:t>
      </w:r>
      <w:proofErr w:type="gramEnd"/>
      <w:r>
        <w:t xml:space="preserve"> integrated </w:t>
      </w:r>
      <w:r w:rsidR="008D375D">
        <w:t>development</w:t>
      </w:r>
      <w:r>
        <w:t xml:space="preserve"> pack</w:t>
      </w:r>
    </w:p>
    <w:p w14:paraId="2CA4236B" w14:textId="7E2B86C5" w:rsidR="00CD4596" w:rsidRDefault="00000000">
      <w:pPr>
        <w:pStyle w:val="ListBullet"/>
      </w:pPr>
      <w:r>
        <w:t xml:space="preserve">A spatial baseline: land, water, environmental sensitivity, </w:t>
      </w:r>
      <w:proofErr w:type="gramStart"/>
      <w:r w:rsidR="008D375D">
        <w:t>developments</w:t>
      </w:r>
      <w:proofErr w:type="gramEnd"/>
      <w:r>
        <w:t>, mobility and infrastructure capacity.</w:t>
      </w:r>
    </w:p>
    <w:p w14:paraId="2FEF83FB" w14:textId="77777777" w:rsidR="00CD4596" w:rsidRDefault="00000000">
      <w:pPr>
        <w:pStyle w:val="ListBullet"/>
      </w:pPr>
      <w:r>
        <w:t>A demand case: named customer segments, willingness to pay, competing supply, export requirements and downside scenarios.</w:t>
      </w:r>
    </w:p>
    <w:p w14:paraId="12A7124C" w14:textId="77777777" w:rsidR="00CD4596" w:rsidRDefault="00000000">
      <w:pPr>
        <w:pStyle w:val="ListBullet"/>
      </w:pPr>
      <w:r>
        <w:t>A technical concept: process flow, technology readiness, input specifications, utilities, maintenance and staffing.</w:t>
      </w:r>
    </w:p>
    <w:p w14:paraId="2E75A67B" w14:textId="77777777" w:rsidR="00CD4596" w:rsidRDefault="00000000">
      <w:pPr>
        <w:pStyle w:val="ListBullet"/>
      </w:pPr>
      <w:r>
        <w:t>A value-chain map: domestic and imported inputs, supplier capability, working capital, logistics and standards.</w:t>
      </w:r>
    </w:p>
    <w:p w14:paraId="7280915A" w14:textId="77777777" w:rsidR="00CD4596" w:rsidRDefault="00000000">
      <w:pPr>
        <w:pStyle w:val="ListBullet"/>
      </w:pPr>
      <w:r>
        <w:t>A financial model: capital and operating cost, revenue, financing, sensitivity, liquidity and foreign-exchange exposure.</w:t>
      </w:r>
    </w:p>
    <w:p w14:paraId="49550D46" w14:textId="77777777" w:rsidR="00CD4596" w:rsidRDefault="00000000">
      <w:pPr>
        <w:pStyle w:val="ListBullet"/>
      </w:pPr>
      <w:r>
        <w:t>A public-value case: jobs and wages, productivity, fiscal effects, service access, resilience, emissions and distribution.</w:t>
      </w:r>
    </w:p>
    <w:p w14:paraId="5EEB1FB4" w14:textId="77777777" w:rsidR="00CD4596" w:rsidRDefault="00000000">
      <w:pPr>
        <w:pStyle w:val="ListBullet"/>
      </w:pPr>
      <w:r>
        <w:t>A delivery and governance plan: owner, operator, regulator, procurement route, milestones, data rights and independent assurance.</w:t>
      </w:r>
    </w:p>
    <w:p w14:paraId="7D2C1E18" w14:textId="77777777" w:rsidR="00CD4596" w:rsidRDefault="00000000">
      <w:pPr>
        <w:pStyle w:val="Heading2"/>
      </w:pPr>
      <w:proofErr w:type="gramStart"/>
      <w:r>
        <w:t>4.3  Portfolio</w:t>
      </w:r>
      <w:proofErr w:type="gramEnd"/>
      <w:r>
        <w:t xml:space="preserve"> logic</w:t>
      </w:r>
    </w:p>
    <w:p w14:paraId="208B7987" w14:textId="0D509F2F" w:rsidR="00CD4596" w:rsidRDefault="00000000">
      <w:pPr>
        <w:pStyle w:val="BodyText"/>
      </w:pPr>
      <w:r>
        <w:t>A project can be sound alone and still fail within an incoherent portfolio. Commercial Economics therefore tests connections. A food-processing plant may depend on cold storage, quality laboratories, contract farming, packaging, working capital and export certification. These are not automatically separate projects: some are private suppliers, some shared services and some public goods. Portfolio design assigns each function to the actor best able to bear its risks and operate it.</w:t>
      </w:r>
      <w:r w:rsidR="00D10BBF">
        <w:t xml:space="preserve"> Youth </w:t>
      </w:r>
      <w:proofErr w:type="gramStart"/>
      <w:r w:rsidR="00D10BBF">
        <w:t>seeks</w:t>
      </w:r>
      <w:proofErr w:type="gramEnd"/>
      <w:r w:rsidR="00D10BBF">
        <w:t xml:space="preserve"> to coordinate these connections to make them domestic whether through growth of present businesses or creation of new ones.</w:t>
      </w:r>
    </w:p>
    <w:tbl>
      <w:tblPr>
        <w:tblW w:w="9000" w:type="dxa"/>
        <w:jc w:val="center"/>
        <w:tblBorders>
          <w:top w:val="single" w:sz="8" w:space="0" w:color="C9A74B"/>
          <w:left w:val="single" w:sz="8" w:space="0" w:color="C9A74B"/>
          <w:bottom w:val="single" w:sz="8" w:space="0" w:color="C9A74B"/>
          <w:right w:val="single" w:sz="8" w:space="0" w:color="C9A74B"/>
          <w:insideH w:val="single" w:sz="8" w:space="0" w:color="C9A74B"/>
          <w:insideV w:val="single" w:sz="8" w:space="0" w:color="C9A74B"/>
        </w:tblBorders>
        <w:tblLayout w:type="fixed"/>
        <w:tblLook w:val="04A0" w:firstRow="1" w:lastRow="0" w:firstColumn="1" w:lastColumn="0" w:noHBand="0" w:noVBand="1"/>
      </w:tblPr>
      <w:tblGrid>
        <w:gridCol w:w="9000"/>
      </w:tblGrid>
      <w:tr w:rsidR="00CD4596" w14:paraId="2162F181" w14:textId="77777777">
        <w:trPr>
          <w:jc w:val="center"/>
        </w:trPr>
        <w:tc>
          <w:tcPr>
            <w:tcW w:w="9000" w:type="dxa"/>
            <w:shd w:val="clear" w:color="auto" w:fill="FFF7E3"/>
            <w:tcMar>
              <w:top w:w="90" w:type="dxa"/>
              <w:left w:w="100" w:type="dxa"/>
              <w:bottom w:w="90" w:type="dxa"/>
              <w:right w:w="100" w:type="dxa"/>
            </w:tcMar>
            <w:vAlign w:val="center"/>
          </w:tcPr>
          <w:p w14:paraId="21C1FECB" w14:textId="77777777" w:rsidR="00CD4596" w:rsidRDefault="00000000">
            <w:pPr>
              <w:spacing w:after="80"/>
            </w:pPr>
            <w:r>
              <w:rPr>
                <w:b/>
                <w:color w:val="075A2C"/>
                <w:sz w:val="17"/>
              </w:rPr>
              <w:lastRenderedPageBreak/>
              <w:t>RULE AGAINST CIRCULAR FEASIBILITY</w:t>
            </w:r>
          </w:p>
          <w:p w14:paraId="2A5887EA" w14:textId="77777777" w:rsidR="00CD4596" w:rsidRDefault="00000000">
            <w:pPr>
              <w:pStyle w:val="Callout"/>
            </w:pPr>
            <w:r>
              <w:t>Project A cannot justify its demand solely by assuming Project B will exist if Project B is justified solely by assuming Project A will exist. At least one anchor must have independent demand, committed users or a staged offtake mechanism.</w:t>
            </w:r>
          </w:p>
        </w:tc>
      </w:tr>
    </w:tbl>
    <w:p w14:paraId="6BD79F01" w14:textId="77777777" w:rsidR="00CD4596" w:rsidRDefault="00000000">
      <w:pPr>
        <w:pStyle w:val="Heading2"/>
      </w:pPr>
      <w:proofErr w:type="gramStart"/>
      <w:r>
        <w:t>4.4  Commercial</w:t>
      </w:r>
      <w:proofErr w:type="gramEnd"/>
      <w:r>
        <w:t xml:space="preserve"> and public return</w:t>
      </w:r>
    </w:p>
    <w:p w14:paraId="49FBCB98" w14:textId="027D2C8E" w:rsidR="00CD4596" w:rsidRDefault="00000000">
      <w:pPr>
        <w:pStyle w:val="BodyText"/>
      </w:pPr>
      <w:r>
        <w:t xml:space="preserve">Different assets earn returns in different ways. A factory may earn sales revenue; a road may </w:t>
      </w:r>
      <w:r w:rsidR="00A07423">
        <w:t>enable further economic growth and impact rather than direct financial benefit</w:t>
      </w:r>
      <w:r>
        <w:t>; a school may raise future capability; a drainage system may avoid losses</w:t>
      </w:r>
      <w:r w:rsidR="00496D25">
        <w:t xml:space="preserve"> of water and increase water resources</w:t>
      </w:r>
      <w:r>
        <w:t xml:space="preserve">. Commercial Economics does not force all benefits into one accounting category. It separates financial </w:t>
      </w:r>
      <w:proofErr w:type="gramStart"/>
      <w:r>
        <w:t>return</w:t>
      </w:r>
      <w:proofErr w:type="gramEnd"/>
      <w:r>
        <w:t xml:space="preserve"> to capital, fiscal </w:t>
      </w:r>
      <w:proofErr w:type="gramStart"/>
      <w:r>
        <w:t>return</w:t>
      </w:r>
      <w:proofErr w:type="gramEnd"/>
      <w:r>
        <w:t xml:space="preserve"> to government, productivity effects, </w:t>
      </w:r>
      <w:r w:rsidR="00855331">
        <w:t xml:space="preserve">economic effects, </w:t>
      </w:r>
      <w:r>
        <w:t>structural cost reductions, human-development outcomes and resilience value. This makes subsidy and risk-transfer decisions visible.</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000"/>
        <w:gridCol w:w="4300"/>
        <w:gridCol w:w="3060"/>
      </w:tblGrid>
      <w:tr w:rsidR="00CD4596" w14:paraId="1C9321AF" w14:textId="77777777">
        <w:trPr>
          <w:tblHeader/>
          <w:jc w:val="center"/>
        </w:trPr>
        <w:tc>
          <w:tcPr>
            <w:tcW w:w="2000" w:type="dxa"/>
            <w:shd w:val="clear" w:color="auto" w:fill="075A2C"/>
            <w:tcMar>
              <w:top w:w="90" w:type="dxa"/>
              <w:left w:w="100" w:type="dxa"/>
              <w:bottom w:w="90" w:type="dxa"/>
              <w:right w:w="100" w:type="dxa"/>
            </w:tcMar>
            <w:vAlign w:val="center"/>
          </w:tcPr>
          <w:p w14:paraId="5BBE6527" w14:textId="77777777" w:rsidR="00CD4596" w:rsidRDefault="00000000">
            <w:r>
              <w:rPr>
                <w:b/>
                <w:color w:val="FFFFFF"/>
                <w:sz w:val="17"/>
              </w:rPr>
              <w:t>Return class</w:t>
            </w:r>
          </w:p>
        </w:tc>
        <w:tc>
          <w:tcPr>
            <w:tcW w:w="4300" w:type="dxa"/>
            <w:shd w:val="clear" w:color="auto" w:fill="075A2C"/>
            <w:tcMar>
              <w:top w:w="90" w:type="dxa"/>
              <w:left w:w="100" w:type="dxa"/>
              <w:bottom w:w="90" w:type="dxa"/>
              <w:right w:w="100" w:type="dxa"/>
            </w:tcMar>
            <w:vAlign w:val="center"/>
          </w:tcPr>
          <w:p w14:paraId="323B6854" w14:textId="77777777" w:rsidR="00CD4596" w:rsidRDefault="00000000">
            <w:r>
              <w:rPr>
                <w:b/>
                <w:color w:val="FFFFFF"/>
                <w:sz w:val="17"/>
              </w:rPr>
              <w:t>Illustrative measure</w:t>
            </w:r>
          </w:p>
        </w:tc>
        <w:tc>
          <w:tcPr>
            <w:tcW w:w="3060" w:type="dxa"/>
            <w:shd w:val="clear" w:color="auto" w:fill="075A2C"/>
            <w:tcMar>
              <w:top w:w="90" w:type="dxa"/>
              <w:left w:w="100" w:type="dxa"/>
              <w:bottom w:w="90" w:type="dxa"/>
              <w:right w:w="100" w:type="dxa"/>
            </w:tcMar>
            <w:vAlign w:val="center"/>
          </w:tcPr>
          <w:p w14:paraId="2C1E2C38" w14:textId="77777777" w:rsidR="00CD4596" w:rsidRDefault="00000000">
            <w:r>
              <w:rPr>
                <w:b/>
                <w:color w:val="FFFFFF"/>
                <w:sz w:val="17"/>
              </w:rPr>
              <w:t>Who captures it?</w:t>
            </w:r>
          </w:p>
        </w:tc>
      </w:tr>
      <w:tr w:rsidR="00CD4596" w14:paraId="7EDC9E7B" w14:textId="77777777">
        <w:trPr>
          <w:cantSplit/>
          <w:jc w:val="center"/>
        </w:trPr>
        <w:tc>
          <w:tcPr>
            <w:tcW w:w="2000" w:type="dxa"/>
          </w:tcPr>
          <w:p w14:paraId="537FF909" w14:textId="77777777" w:rsidR="00CD4596" w:rsidRDefault="00000000">
            <w:pPr>
              <w:pStyle w:val="TableText"/>
            </w:pPr>
            <w:r>
              <w:rPr>
                <w:b/>
                <w:color w:val="075A2C"/>
              </w:rPr>
              <w:t>Financial</w:t>
            </w:r>
          </w:p>
        </w:tc>
        <w:tc>
          <w:tcPr>
            <w:tcW w:w="4300" w:type="dxa"/>
          </w:tcPr>
          <w:p w14:paraId="6F81AC87" w14:textId="077EEC90" w:rsidR="00CD4596" w:rsidRDefault="00000000">
            <w:pPr>
              <w:pStyle w:val="TableText"/>
            </w:pPr>
            <w:r>
              <w:t>Cash flow,</w:t>
            </w:r>
            <w:r w:rsidR="00C10D59">
              <w:t xml:space="preserve"> earnings and profits</w:t>
            </w:r>
            <w:r>
              <w:t>, debt-service coverage, return on invested capital</w:t>
            </w:r>
          </w:p>
        </w:tc>
        <w:tc>
          <w:tcPr>
            <w:tcW w:w="3060" w:type="dxa"/>
          </w:tcPr>
          <w:p w14:paraId="5CC4A436" w14:textId="77777777" w:rsidR="00CD4596" w:rsidRDefault="00000000">
            <w:pPr>
              <w:pStyle w:val="TableText"/>
            </w:pPr>
            <w:r>
              <w:t>Owners, lenders, workers and suppliers</w:t>
            </w:r>
          </w:p>
        </w:tc>
      </w:tr>
      <w:tr w:rsidR="00CD4596" w14:paraId="730B3368" w14:textId="77777777">
        <w:trPr>
          <w:cantSplit/>
          <w:jc w:val="center"/>
        </w:trPr>
        <w:tc>
          <w:tcPr>
            <w:tcW w:w="2000" w:type="dxa"/>
            <w:shd w:val="clear" w:color="auto" w:fill="F3F5F4"/>
          </w:tcPr>
          <w:p w14:paraId="70B8BFFA" w14:textId="77777777" w:rsidR="00CD4596" w:rsidRDefault="00000000">
            <w:pPr>
              <w:pStyle w:val="TableText"/>
            </w:pPr>
            <w:r>
              <w:rPr>
                <w:b/>
                <w:color w:val="075A2C"/>
              </w:rPr>
              <w:t>Fiscal</w:t>
            </w:r>
          </w:p>
        </w:tc>
        <w:tc>
          <w:tcPr>
            <w:tcW w:w="4300" w:type="dxa"/>
            <w:shd w:val="clear" w:color="auto" w:fill="F3F5F4"/>
          </w:tcPr>
          <w:p w14:paraId="7AA9DE37" w14:textId="77777777" w:rsidR="00CD4596" w:rsidRDefault="00000000">
            <w:pPr>
              <w:pStyle w:val="TableText"/>
            </w:pPr>
            <w:r>
              <w:t>Taxes, fees, avoided expenditure, contingent liabilities</w:t>
            </w:r>
          </w:p>
        </w:tc>
        <w:tc>
          <w:tcPr>
            <w:tcW w:w="3060" w:type="dxa"/>
            <w:shd w:val="clear" w:color="auto" w:fill="F3F5F4"/>
          </w:tcPr>
          <w:p w14:paraId="61BEE2AF" w14:textId="77777777" w:rsidR="00CD4596" w:rsidRDefault="00000000">
            <w:pPr>
              <w:pStyle w:val="TableText"/>
            </w:pPr>
            <w:r>
              <w:t>Government and taxpayers</w:t>
            </w:r>
          </w:p>
        </w:tc>
      </w:tr>
      <w:tr w:rsidR="00CD4596" w14:paraId="4CCA298A" w14:textId="77777777">
        <w:trPr>
          <w:cantSplit/>
          <w:jc w:val="center"/>
        </w:trPr>
        <w:tc>
          <w:tcPr>
            <w:tcW w:w="2000" w:type="dxa"/>
          </w:tcPr>
          <w:p w14:paraId="0FC002D6" w14:textId="77777777" w:rsidR="00CD4596" w:rsidRDefault="00000000">
            <w:pPr>
              <w:pStyle w:val="TableText"/>
            </w:pPr>
            <w:r>
              <w:rPr>
                <w:b/>
                <w:color w:val="075A2C"/>
              </w:rPr>
              <w:t>Productivity</w:t>
            </w:r>
          </w:p>
        </w:tc>
        <w:tc>
          <w:tcPr>
            <w:tcW w:w="4300" w:type="dxa"/>
          </w:tcPr>
          <w:p w14:paraId="54398E81" w14:textId="77777777" w:rsidR="00CD4596" w:rsidRDefault="00000000">
            <w:pPr>
              <w:pStyle w:val="TableText"/>
            </w:pPr>
            <w:r>
              <w:t>Output per worker, yield, downtime, logistics time, quality</w:t>
            </w:r>
          </w:p>
        </w:tc>
        <w:tc>
          <w:tcPr>
            <w:tcW w:w="3060" w:type="dxa"/>
          </w:tcPr>
          <w:p w14:paraId="3F1CBEA2" w14:textId="77777777" w:rsidR="00CD4596" w:rsidRDefault="00000000">
            <w:pPr>
              <w:pStyle w:val="TableText"/>
            </w:pPr>
            <w:r>
              <w:t>Firms, workers and customers</w:t>
            </w:r>
          </w:p>
        </w:tc>
      </w:tr>
      <w:tr w:rsidR="00CD4596" w14:paraId="696F2B39" w14:textId="77777777">
        <w:trPr>
          <w:cantSplit/>
          <w:jc w:val="center"/>
        </w:trPr>
        <w:tc>
          <w:tcPr>
            <w:tcW w:w="2000" w:type="dxa"/>
            <w:shd w:val="clear" w:color="auto" w:fill="F3F5F4"/>
          </w:tcPr>
          <w:p w14:paraId="02A86110" w14:textId="77777777" w:rsidR="00CD4596" w:rsidRDefault="00000000">
            <w:pPr>
              <w:pStyle w:val="TableText"/>
            </w:pPr>
            <w:r>
              <w:rPr>
                <w:b/>
                <w:color w:val="075A2C"/>
              </w:rPr>
              <w:t>Structural cost</w:t>
            </w:r>
          </w:p>
        </w:tc>
        <w:tc>
          <w:tcPr>
            <w:tcW w:w="4300" w:type="dxa"/>
            <w:shd w:val="clear" w:color="auto" w:fill="F3F5F4"/>
          </w:tcPr>
          <w:p w14:paraId="10A052B2" w14:textId="77777777" w:rsidR="00CD4596" w:rsidRDefault="00000000">
            <w:pPr>
              <w:pStyle w:val="TableText"/>
            </w:pPr>
            <w:r>
              <w:t>Water loss, energy intensity, transport or housing cost</w:t>
            </w:r>
          </w:p>
        </w:tc>
        <w:tc>
          <w:tcPr>
            <w:tcW w:w="3060" w:type="dxa"/>
            <w:shd w:val="clear" w:color="auto" w:fill="F3F5F4"/>
          </w:tcPr>
          <w:p w14:paraId="71912CC3" w14:textId="77777777" w:rsidR="00CD4596" w:rsidRDefault="00000000">
            <w:pPr>
              <w:pStyle w:val="TableText"/>
            </w:pPr>
            <w:r>
              <w:t>Multiple firms and households</w:t>
            </w:r>
          </w:p>
        </w:tc>
      </w:tr>
      <w:tr w:rsidR="00CD4596" w14:paraId="3D07D457" w14:textId="77777777">
        <w:trPr>
          <w:cantSplit/>
          <w:jc w:val="center"/>
        </w:trPr>
        <w:tc>
          <w:tcPr>
            <w:tcW w:w="2000" w:type="dxa"/>
          </w:tcPr>
          <w:p w14:paraId="68DA299C" w14:textId="77777777" w:rsidR="00CD4596" w:rsidRDefault="00000000">
            <w:pPr>
              <w:pStyle w:val="TableText"/>
            </w:pPr>
            <w:r>
              <w:rPr>
                <w:b/>
                <w:color w:val="075A2C"/>
              </w:rPr>
              <w:t>Social capability</w:t>
            </w:r>
          </w:p>
        </w:tc>
        <w:tc>
          <w:tcPr>
            <w:tcW w:w="4300" w:type="dxa"/>
          </w:tcPr>
          <w:p w14:paraId="147B21D6" w14:textId="700F45D2" w:rsidR="00CD4596" w:rsidRDefault="00000000">
            <w:pPr>
              <w:pStyle w:val="TableText"/>
            </w:pPr>
            <w:r>
              <w:t xml:space="preserve">Health, learning, safety, </w:t>
            </w:r>
            <w:r w:rsidR="008B217D">
              <w:t xml:space="preserve">living standards, construction standards, </w:t>
            </w:r>
            <w:r>
              <w:t>access and time saved</w:t>
            </w:r>
          </w:p>
        </w:tc>
        <w:tc>
          <w:tcPr>
            <w:tcW w:w="3060" w:type="dxa"/>
          </w:tcPr>
          <w:p w14:paraId="52CDD240" w14:textId="77777777" w:rsidR="00CD4596" w:rsidRDefault="00000000">
            <w:pPr>
              <w:pStyle w:val="TableText"/>
            </w:pPr>
            <w:r>
              <w:t>People and communities</w:t>
            </w:r>
          </w:p>
        </w:tc>
      </w:tr>
      <w:tr w:rsidR="00CD4596" w14:paraId="600B9091" w14:textId="77777777">
        <w:trPr>
          <w:cantSplit/>
          <w:jc w:val="center"/>
        </w:trPr>
        <w:tc>
          <w:tcPr>
            <w:tcW w:w="2000" w:type="dxa"/>
            <w:shd w:val="clear" w:color="auto" w:fill="F3F5F4"/>
          </w:tcPr>
          <w:p w14:paraId="7069E771" w14:textId="77777777" w:rsidR="00CD4596" w:rsidRDefault="00000000">
            <w:pPr>
              <w:pStyle w:val="TableText"/>
            </w:pPr>
            <w:r>
              <w:rPr>
                <w:b/>
                <w:color w:val="075A2C"/>
              </w:rPr>
              <w:t>Resilience</w:t>
            </w:r>
          </w:p>
        </w:tc>
        <w:tc>
          <w:tcPr>
            <w:tcW w:w="4300" w:type="dxa"/>
            <w:shd w:val="clear" w:color="auto" w:fill="F3F5F4"/>
          </w:tcPr>
          <w:p w14:paraId="29E0D216" w14:textId="6C2C52A5" w:rsidR="00CD4596" w:rsidRDefault="00000000">
            <w:pPr>
              <w:pStyle w:val="TableText"/>
            </w:pPr>
            <w:r>
              <w:t xml:space="preserve">Recovery time, import risk, </w:t>
            </w:r>
            <w:r w:rsidR="00EC316F">
              <w:t xml:space="preserve">disaster preparation, emergency services, </w:t>
            </w:r>
            <w:r>
              <w:t>redundancy and avoided disruption</w:t>
            </w:r>
          </w:p>
        </w:tc>
        <w:tc>
          <w:tcPr>
            <w:tcW w:w="3060" w:type="dxa"/>
            <w:shd w:val="clear" w:color="auto" w:fill="F3F5F4"/>
          </w:tcPr>
          <w:p w14:paraId="30E86F88" w14:textId="77777777" w:rsidR="00CD4596" w:rsidRDefault="00000000">
            <w:pPr>
              <w:pStyle w:val="TableText"/>
            </w:pPr>
            <w:r>
              <w:t>The whole system</w:t>
            </w:r>
          </w:p>
        </w:tc>
      </w:tr>
    </w:tbl>
    <w:p w14:paraId="36B5F48D" w14:textId="77777777" w:rsidR="00CD4596" w:rsidRDefault="00000000">
      <w:pPr>
        <w:pStyle w:val="Heading1"/>
        <w:pageBreakBefore/>
        <w:pBdr>
          <w:bottom w:val="single" w:sz="6" w:space="6" w:color="CFE5D7"/>
        </w:pBdr>
      </w:pPr>
      <w:proofErr w:type="gramStart"/>
      <w:r>
        <w:rPr>
          <w:color w:val="2F7D52"/>
        </w:rPr>
        <w:lastRenderedPageBreak/>
        <w:t xml:space="preserve">05  </w:t>
      </w:r>
      <w:r>
        <w:t>Core</w:t>
      </w:r>
      <w:proofErr w:type="gramEnd"/>
      <w:r>
        <w:t xml:space="preserve"> theories as testable propositions</w:t>
      </w:r>
    </w:p>
    <w:p w14:paraId="7D7391F2" w14:textId="77777777" w:rsidR="00CD4596" w:rsidRDefault="00000000">
      <w:pPr>
        <w:pStyle w:val="ChapterSubtitle"/>
      </w:pPr>
      <w:r>
        <w:t>Each theory is restated as a mechanism, a boundary condition and a measurement program.</w:t>
      </w:r>
    </w:p>
    <w:p w14:paraId="55B2F11E" w14:textId="77777777" w:rsidR="00CD4596" w:rsidRDefault="00000000">
      <w:pPr>
        <w:pStyle w:val="BodyText"/>
      </w:pPr>
      <w:r>
        <w:t>The source manuscript contains a set of original theories. In this paper they are presented as working hypotheses, not universal laws. This is essential for scientific correctness and investor confidence: a useful theory should identify the mechanism it expects, the conditions under which it may fail and the observations that would change the decision.</w:t>
      </w:r>
    </w:p>
    <w:p w14:paraId="4CD8DDA5" w14:textId="77777777" w:rsidR="00CD4596" w:rsidRDefault="00000000">
      <w:pPr>
        <w:pStyle w:val="Heading2"/>
      </w:pPr>
      <w:proofErr w:type="gramStart"/>
      <w:r>
        <w:t>5.1  Counter</w:t>
      </w:r>
      <w:proofErr w:type="gramEnd"/>
      <w:r>
        <w:t>-Inflation Strategy</w:t>
      </w:r>
    </w:p>
    <w:p w14:paraId="36BBE34D" w14:textId="77777777" w:rsidR="00CD4596" w:rsidRDefault="00000000">
      <w:pPr>
        <w:pStyle w:val="BodyText"/>
      </w:pPr>
      <w:r>
        <w:t xml:space="preserve">The proposition is that durable price stability requires attention to productive supply as well as aggregate demand. When food, energy, transport, foreign exchange or industrial inputs are constrained, investment that raises capacity, productivity and logistics performance can reduce structural inflation pressure over time. This is consistent with evidence that inflation episodes can contain both supply and demand forces. </w:t>
      </w:r>
      <w:hyperlink r:id="rId43">
        <w:r w:rsidR="00CD4596">
          <w:rPr>
            <w:color w:val="075A2C"/>
            <w:sz w:val="15"/>
            <w:vertAlign w:val="superscript"/>
          </w:rPr>
          <w:t>[15]</w:t>
        </w:r>
      </w:hyperlink>
    </w:p>
    <w:p w14:paraId="491A0009" w14:textId="77777777" w:rsidR="004821C2" w:rsidRDefault="004821C2">
      <w:pPr>
        <w:pStyle w:val="BodyText"/>
      </w:pPr>
    </w:p>
    <w:p w14:paraId="7867198F" w14:textId="7E14760F" w:rsidR="004821C2" w:rsidRDefault="004821C2">
      <w:pPr>
        <w:pStyle w:val="BodyText"/>
      </w:pPr>
      <w:r>
        <w:t xml:space="preserve">The goal of Counter-Inflation is therefore to increase profits of firms across economy, government income streams, and more so that economic growth is higher than recorded inflation or increase in pricing. This is logically the way that </w:t>
      </w:r>
      <w:proofErr w:type="gramStart"/>
      <w:r>
        <w:t>a society</w:t>
      </w:r>
      <w:proofErr w:type="gramEnd"/>
      <w:r>
        <w:t xml:space="preserve"> becomes wealthy. To achieve </w:t>
      </w:r>
      <w:proofErr w:type="gramStart"/>
      <w:r>
        <w:t>this increased</w:t>
      </w:r>
      <w:proofErr w:type="gramEnd"/>
      <w:r>
        <w:t xml:space="preserve"> profits, new investments to increase productive and economic capacity, increasing exports and substituting imports, improving technological process and productive capabilities, and increasing abundance of resources and supplies in economy. Let us take an example; Egypt has many car assemblers, if this car assembler attained investment through mixed financing; government investment, private investment, and possibly loans then it can produce </w:t>
      </w:r>
      <w:proofErr w:type="spellStart"/>
      <w:r>
        <w:t>it’s</w:t>
      </w:r>
      <w:proofErr w:type="spellEnd"/>
      <w:r>
        <w:t xml:space="preserve"> own parts to develop its own supply chain as well as connecting to the rest of the mark, car design, and </w:t>
      </w:r>
      <w:proofErr w:type="spellStart"/>
      <w:r>
        <w:t>oursource</w:t>
      </w:r>
      <w:proofErr w:type="spellEnd"/>
      <w:r>
        <w:t xml:space="preserve"> complex parts then this assembler can transform into a car producer that produces an Egyptian-branded car. This car can be sold domestically or exported. To ensure success, the government must protect </w:t>
      </w:r>
      <w:proofErr w:type="spellStart"/>
      <w:proofErr w:type="gramStart"/>
      <w:r>
        <w:t>it’s</w:t>
      </w:r>
      <w:proofErr w:type="spellEnd"/>
      <w:proofErr w:type="gramEnd"/>
      <w:r>
        <w:t xml:space="preserve"> infant industries as Friedrich List proposes by contracting early car producers with contracts to supply vehicles for various government services to secure early demand. An initial round of pre-production contract deposits allows producers to secure early demand for complex goods from private and public sector </w:t>
      </w:r>
    </w:p>
    <w:p w14:paraId="23E4B772" w14:textId="77777777" w:rsidR="004821C2" w:rsidRDefault="004821C2">
      <w:pPr>
        <w:pStyle w:val="BodyText"/>
      </w:pPr>
    </w:p>
    <w:p w14:paraId="610BCB13" w14:textId="41B045C7" w:rsidR="00CD4596" w:rsidRDefault="00000000">
      <w:pPr>
        <w:pStyle w:val="BodyText"/>
      </w:pPr>
      <w:r>
        <w:t xml:space="preserve">Boundary condition: capacity expansion is not a substitute for credible monetary and fiscal stabilization. New spending can intensify inflation before output arrives, especially when construction relies on scarce labor, materials or imports. </w:t>
      </w:r>
      <w:r w:rsidR="004821C2">
        <w:t>Due to reliance on mixed financing through private investment and contracti</w:t>
      </w:r>
      <w:r w:rsidR="002E0F5C">
        <w:t>ng</w:t>
      </w:r>
      <w:r w:rsidR="004821C2">
        <w:t xml:space="preserve">, government debt (both foreign and domestic), </w:t>
      </w:r>
      <w:r w:rsidR="002E0F5C">
        <w:t>private debt (lending</w:t>
      </w:r>
      <w:r w:rsidR="00F37AD7">
        <w:t xml:space="preserve"> from banks</w:t>
      </w:r>
      <w:r w:rsidR="002E0F5C">
        <w:t xml:space="preserve">), </w:t>
      </w:r>
      <w:r w:rsidR="004821C2">
        <w:t xml:space="preserve">and more rather than money-printing, inflationary effects are negligible. </w:t>
      </w:r>
      <w:r>
        <w:t xml:space="preserve">Monetary policy affects demand, expectations and financing conditions; supply policy works through a different timescale. </w:t>
      </w:r>
      <w:hyperlink r:id="rId44">
        <w:r w:rsidR="00CD4596">
          <w:rPr>
            <w:color w:val="075A2C"/>
            <w:sz w:val="15"/>
            <w:vertAlign w:val="superscript"/>
          </w:rPr>
          <w:t>[16]</w:t>
        </w:r>
      </w:hyperlink>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700"/>
        <w:gridCol w:w="6660"/>
      </w:tblGrid>
      <w:tr w:rsidR="00CD4596" w14:paraId="63313714" w14:textId="77777777">
        <w:trPr>
          <w:tblHeader/>
          <w:jc w:val="center"/>
        </w:trPr>
        <w:tc>
          <w:tcPr>
            <w:tcW w:w="2700" w:type="dxa"/>
            <w:shd w:val="clear" w:color="auto" w:fill="075A2C"/>
            <w:tcMar>
              <w:top w:w="90" w:type="dxa"/>
              <w:left w:w="100" w:type="dxa"/>
              <w:bottom w:w="90" w:type="dxa"/>
              <w:right w:w="100" w:type="dxa"/>
            </w:tcMar>
            <w:vAlign w:val="center"/>
          </w:tcPr>
          <w:p w14:paraId="1C7A8A65" w14:textId="77777777" w:rsidR="00CD4596" w:rsidRDefault="00000000">
            <w:r>
              <w:rPr>
                <w:b/>
                <w:color w:val="FFFFFF"/>
                <w:sz w:val="18"/>
              </w:rPr>
              <w:lastRenderedPageBreak/>
              <w:t>Test element</w:t>
            </w:r>
          </w:p>
        </w:tc>
        <w:tc>
          <w:tcPr>
            <w:tcW w:w="6660" w:type="dxa"/>
            <w:shd w:val="clear" w:color="auto" w:fill="075A2C"/>
            <w:tcMar>
              <w:top w:w="90" w:type="dxa"/>
              <w:left w:w="100" w:type="dxa"/>
              <w:bottom w:w="90" w:type="dxa"/>
              <w:right w:w="100" w:type="dxa"/>
            </w:tcMar>
            <w:vAlign w:val="center"/>
          </w:tcPr>
          <w:p w14:paraId="241C0D26" w14:textId="77777777" w:rsidR="00CD4596" w:rsidRDefault="00000000">
            <w:r>
              <w:rPr>
                <w:b/>
                <w:color w:val="FFFFFF"/>
                <w:sz w:val="18"/>
              </w:rPr>
              <w:t>Required evidence</w:t>
            </w:r>
          </w:p>
        </w:tc>
      </w:tr>
      <w:tr w:rsidR="00CD4596" w14:paraId="3ECEC61F" w14:textId="77777777">
        <w:trPr>
          <w:cantSplit/>
          <w:jc w:val="center"/>
        </w:trPr>
        <w:tc>
          <w:tcPr>
            <w:tcW w:w="2700" w:type="dxa"/>
          </w:tcPr>
          <w:p w14:paraId="721AF705" w14:textId="77777777" w:rsidR="00CD4596" w:rsidRDefault="00000000">
            <w:pPr>
              <w:pStyle w:val="TableText"/>
            </w:pPr>
            <w:r>
              <w:rPr>
                <w:b/>
                <w:color w:val="075A2C"/>
              </w:rPr>
              <w:t>Mechanism</w:t>
            </w:r>
          </w:p>
        </w:tc>
        <w:tc>
          <w:tcPr>
            <w:tcW w:w="6660" w:type="dxa"/>
          </w:tcPr>
          <w:p w14:paraId="0F836538" w14:textId="77777777" w:rsidR="00CD4596" w:rsidRDefault="00000000">
            <w:pPr>
              <w:pStyle w:val="TableText"/>
            </w:pPr>
            <w:r>
              <w:t>Remove bottlenecks, raise yields and capacity, lower unit costs, improve competition and reduce avoidable losses.</w:t>
            </w:r>
          </w:p>
        </w:tc>
      </w:tr>
      <w:tr w:rsidR="00CD4596" w14:paraId="0375F068" w14:textId="77777777">
        <w:trPr>
          <w:cantSplit/>
          <w:jc w:val="center"/>
        </w:trPr>
        <w:tc>
          <w:tcPr>
            <w:tcW w:w="2700" w:type="dxa"/>
            <w:shd w:val="clear" w:color="auto" w:fill="F3F5F4"/>
          </w:tcPr>
          <w:p w14:paraId="1D93769E" w14:textId="77777777" w:rsidR="00CD4596" w:rsidRDefault="00000000">
            <w:pPr>
              <w:pStyle w:val="TableText"/>
            </w:pPr>
            <w:r>
              <w:rPr>
                <w:b/>
                <w:color w:val="075A2C"/>
              </w:rPr>
              <w:t>Leading indicators</w:t>
            </w:r>
          </w:p>
        </w:tc>
        <w:tc>
          <w:tcPr>
            <w:tcW w:w="6660" w:type="dxa"/>
            <w:shd w:val="clear" w:color="auto" w:fill="F3F5F4"/>
          </w:tcPr>
          <w:p w14:paraId="3D3A5FB1" w14:textId="77777777" w:rsidR="00CD4596" w:rsidRDefault="00000000">
            <w:pPr>
              <w:pStyle w:val="TableText"/>
            </w:pPr>
            <w:r>
              <w:t>Capacity under construction, delivery milestones, import content, logistics time, inventory and vacancy.</w:t>
            </w:r>
          </w:p>
        </w:tc>
      </w:tr>
      <w:tr w:rsidR="00CD4596" w14:paraId="2F5E3F32" w14:textId="77777777">
        <w:trPr>
          <w:cantSplit/>
          <w:jc w:val="center"/>
        </w:trPr>
        <w:tc>
          <w:tcPr>
            <w:tcW w:w="2700" w:type="dxa"/>
          </w:tcPr>
          <w:p w14:paraId="5E9476DC" w14:textId="77777777" w:rsidR="00CD4596" w:rsidRDefault="00000000">
            <w:pPr>
              <w:pStyle w:val="TableText"/>
            </w:pPr>
            <w:r>
              <w:rPr>
                <w:b/>
                <w:color w:val="075A2C"/>
              </w:rPr>
              <w:t>Outcome indicators</w:t>
            </w:r>
          </w:p>
        </w:tc>
        <w:tc>
          <w:tcPr>
            <w:tcW w:w="6660" w:type="dxa"/>
          </w:tcPr>
          <w:p w14:paraId="00A0AECB" w14:textId="77777777" w:rsidR="00CD4596" w:rsidRDefault="00000000">
            <w:pPr>
              <w:pStyle w:val="TableText"/>
            </w:pPr>
            <w:r>
              <w:t>Unit cost, productivity, price dispersion, food/energy reliability, real wage and output.</w:t>
            </w:r>
          </w:p>
        </w:tc>
      </w:tr>
      <w:tr w:rsidR="00CD4596" w14:paraId="17A98E4A" w14:textId="77777777">
        <w:trPr>
          <w:cantSplit/>
          <w:jc w:val="center"/>
        </w:trPr>
        <w:tc>
          <w:tcPr>
            <w:tcW w:w="2700" w:type="dxa"/>
            <w:shd w:val="clear" w:color="auto" w:fill="F3F5F4"/>
          </w:tcPr>
          <w:p w14:paraId="4DAB2367" w14:textId="77777777" w:rsidR="00CD4596" w:rsidRDefault="00000000">
            <w:pPr>
              <w:pStyle w:val="TableText"/>
            </w:pPr>
            <w:r>
              <w:rPr>
                <w:b/>
                <w:color w:val="075A2C"/>
              </w:rPr>
              <w:t>Failure signals</w:t>
            </w:r>
          </w:p>
        </w:tc>
        <w:tc>
          <w:tcPr>
            <w:tcW w:w="6660" w:type="dxa"/>
            <w:shd w:val="clear" w:color="auto" w:fill="F3F5F4"/>
          </w:tcPr>
          <w:p w14:paraId="3979FB46" w14:textId="77777777" w:rsidR="00CD4596" w:rsidRDefault="00000000">
            <w:pPr>
              <w:pStyle w:val="TableText"/>
            </w:pPr>
            <w:r>
              <w:t xml:space="preserve">Cost overruns, import surge without future foreign-exchange </w:t>
            </w:r>
            <w:proofErr w:type="gramStart"/>
            <w:r>
              <w:t>return</w:t>
            </w:r>
            <w:proofErr w:type="gramEnd"/>
            <w:r>
              <w:t>, protected monopoly, weak demand or fiscal stress.</w:t>
            </w:r>
          </w:p>
        </w:tc>
      </w:tr>
    </w:tbl>
    <w:p w14:paraId="5EC468E6" w14:textId="77777777" w:rsidR="00CD4596" w:rsidRDefault="00000000">
      <w:pPr>
        <w:pStyle w:val="Heading2"/>
      </w:pPr>
      <w:proofErr w:type="gramStart"/>
      <w:r>
        <w:t>5.2  Foreign</w:t>
      </w:r>
      <w:proofErr w:type="gramEnd"/>
      <w:r>
        <w:t xml:space="preserve"> Currency Resource Theory</w:t>
      </w:r>
    </w:p>
    <w:p w14:paraId="2FF92C5A" w14:textId="77777777" w:rsidR="00CD4596" w:rsidRDefault="00000000">
      <w:pPr>
        <w:pStyle w:val="BodyText"/>
      </w:pPr>
      <w:r>
        <w:t>Foreign Currency Resource Theory treats usable foreign exchange as a strategic input for economies that import capital goods, components, energy, medicines or technology. The binding question is not simply whether a project is profitable in Egyptian pounds, but whether the economy can obtain the foreign currency needed during construction and operation. This idea is adjacent to balance-of-</w:t>
      </w:r>
      <w:proofErr w:type="gramStart"/>
      <w:r>
        <w:t>payments</w:t>
      </w:r>
      <w:proofErr w:type="gramEnd"/>
      <w:r>
        <w:t xml:space="preserve">-constrained growth: long-run expansion can be limited when import demand grows faster than sustainable foreign-currency earnings. </w:t>
      </w:r>
      <w:hyperlink r:id="rId45">
        <w:r w:rsidR="00CD4596">
          <w:rPr>
            <w:color w:val="075A2C"/>
            <w:sz w:val="15"/>
            <w:vertAlign w:val="superscript"/>
          </w:rPr>
          <w:t>[17]</w:t>
        </w:r>
      </w:hyperlink>
      <w:r>
        <w:t xml:space="preserve"> </w:t>
      </w:r>
      <w:hyperlink r:id="rId46">
        <w:r w:rsidR="00CD4596">
          <w:rPr>
            <w:color w:val="075A2C"/>
            <w:sz w:val="15"/>
            <w:vertAlign w:val="superscript"/>
          </w:rPr>
          <w:t>[28]</w:t>
        </w:r>
      </w:hyperlink>
    </w:p>
    <w:p w14:paraId="052748A6" w14:textId="77777777" w:rsidR="00CD4596" w:rsidRDefault="00000000">
      <w:pPr>
        <w:pStyle w:val="BodyText"/>
      </w:pPr>
      <w:r>
        <w:t xml:space="preserve">The policy implication is not to localize everything. It is to manage the </w:t>
      </w:r>
      <w:proofErr w:type="gramStart"/>
      <w:r>
        <w:t>foreign-exchange</w:t>
      </w:r>
      <w:proofErr w:type="gramEnd"/>
      <w:r>
        <w:t xml:space="preserve"> lifecycle. Imports can be economically valuable when they create productive capacity. The project test should estimate imported capital and operating inputs, export or import-substitution effects, timing, hedging, supplier risk and the quality of foreign investment. A domestic substitute should be preferred only when it can meet required cost, quality, scale and reliability—or has a credible, time-bound path to do so.</w:t>
      </w:r>
    </w:p>
    <w:p w14:paraId="4F1AB483" w14:textId="77777777" w:rsidR="00CD4596" w:rsidRDefault="00000000">
      <w:pPr>
        <w:pStyle w:val="Heading2"/>
      </w:pPr>
      <w:proofErr w:type="gramStart"/>
      <w:r>
        <w:t>5.3  Domestic</w:t>
      </w:r>
      <w:proofErr w:type="gramEnd"/>
      <w:r>
        <w:t xml:space="preserve"> Finance–Foreign Exchange Mismatch</w:t>
      </w:r>
    </w:p>
    <w:p w14:paraId="4E8BE5DF" w14:textId="77777777" w:rsidR="00CD4596" w:rsidRDefault="00000000">
      <w:pPr>
        <w:pStyle w:val="BodyText"/>
      </w:pPr>
      <w:r>
        <w:t xml:space="preserve">The draft Domestic Currency Recession Theory is more precisely framed as a domestic-finance/foreign-exchange mismatch. A project financed in local currency can still create foreign-exchange pressure when it requires imported equipment or </w:t>
      </w:r>
      <w:proofErr w:type="gramStart"/>
      <w:r>
        <w:t>inputs</w:t>
      </w:r>
      <w:proofErr w:type="gramEnd"/>
      <w:r>
        <w:t>. If the project later earns exports, replaces costly imports or raises economy-wide productivity, the pressure may be justified. If it produces only local-currency revenue while carrying an unplanned foreign-currency need, financing stress can emerge.</w:t>
      </w:r>
    </w:p>
    <w:tbl>
      <w:tblPr>
        <w:tblW w:w="9000" w:type="dxa"/>
        <w:jc w:val="center"/>
        <w:tblBorders>
          <w:top w:val="single" w:sz="8" w:space="0" w:color="075A2C"/>
          <w:left w:val="single" w:sz="8" w:space="0" w:color="075A2C"/>
          <w:bottom w:val="single" w:sz="8" w:space="0" w:color="075A2C"/>
          <w:right w:val="single" w:sz="8" w:space="0" w:color="075A2C"/>
          <w:insideH w:val="single" w:sz="8" w:space="0" w:color="075A2C"/>
          <w:insideV w:val="single" w:sz="8" w:space="0" w:color="075A2C"/>
        </w:tblBorders>
        <w:tblLayout w:type="fixed"/>
        <w:tblLook w:val="04A0" w:firstRow="1" w:lastRow="0" w:firstColumn="1" w:lastColumn="0" w:noHBand="0" w:noVBand="1"/>
      </w:tblPr>
      <w:tblGrid>
        <w:gridCol w:w="9000"/>
      </w:tblGrid>
      <w:tr w:rsidR="00CD4596" w14:paraId="10C37A31" w14:textId="77777777">
        <w:trPr>
          <w:jc w:val="center"/>
        </w:trPr>
        <w:tc>
          <w:tcPr>
            <w:tcW w:w="9000" w:type="dxa"/>
            <w:shd w:val="clear" w:color="auto" w:fill="EAF4EE"/>
            <w:tcMar>
              <w:top w:w="90" w:type="dxa"/>
              <w:left w:w="100" w:type="dxa"/>
              <w:bottom w:w="90" w:type="dxa"/>
              <w:right w:w="100" w:type="dxa"/>
            </w:tcMar>
            <w:vAlign w:val="center"/>
          </w:tcPr>
          <w:p w14:paraId="67FE8582" w14:textId="77777777" w:rsidR="00CD4596" w:rsidRDefault="00000000">
            <w:pPr>
              <w:spacing w:after="80"/>
            </w:pPr>
            <w:r>
              <w:rPr>
                <w:b/>
                <w:color w:val="075A2C"/>
                <w:sz w:val="17"/>
              </w:rPr>
              <w:t>REQUIRED PROJECT SCHEDULE</w:t>
            </w:r>
          </w:p>
          <w:p w14:paraId="2A54C2D7" w14:textId="77777777" w:rsidR="00CD4596" w:rsidRDefault="00000000">
            <w:pPr>
              <w:pStyle w:val="Callout"/>
            </w:pPr>
            <w:r>
              <w:t>Every major project should include a quarterly foreign-exchange schedule covering imported capital goods, spare parts, licenses, debt service, operating inputs and expected foreign-currency earnings or savings.</w:t>
            </w:r>
          </w:p>
        </w:tc>
      </w:tr>
    </w:tbl>
    <w:p w14:paraId="3633533D" w14:textId="77777777" w:rsidR="00CD4596" w:rsidRDefault="00000000">
      <w:pPr>
        <w:pStyle w:val="Heading2"/>
      </w:pPr>
      <w:proofErr w:type="gramStart"/>
      <w:r>
        <w:t>5.4  Economic</w:t>
      </w:r>
      <w:proofErr w:type="gramEnd"/>
      <w:r>
        <w:t xml:space="preserve"> Guidance Theory</w:t>
      </w:r>
    </w:p>
    <w:p w14:paraId="6A0D0FCB" w14:textId="3CA1086B" w:rsidR="00CD4596" w:rsidRDefault="00000000">
      <w:pPr>
        <w:pStyle w:val="BodyText"/>
      </w:pPr>
      <w:r>
        <w:t xml:space="preserve">Economic Guidance Theory proposes structured public-private coordination to move investment toward socially valuable capabilities. The rigorous version is neither command allocation nor unconditional subsidy. Government defines a problem and measurable public objective; firms disclose constraints and compete to solve it; support is conditional on performance; and weak interventions are redesigned or ended. </w:t>
      </w:r>
      <w:r w:rsidR="00624AAA">
        <w:t xml:space="preserve">The method of testing this theory is through special economic zones which </w:t>
      </w:r>
      <w:r w:rsidR="00624AAA">
        <w:lastRenderedPageBreak/>
        <w:t xml:space="preserve">allow the creation of economic policies that apply to a certain area only or nation-wide economic programs or policies. </w:t>
      </w:r>
      <w:r>
        <w:t xml:space="preserve">Contemporary industrial-policy guidance emphasizes strategic orientation, coordination, delivery and evaluation. </w:t>
      </w:r>
      <w:hyperlink r:id="rId47">
        <w:r w:rsidR="00CD4596">
          <w:rPr>
            <w:color w:val="075A2C"/>
            <w:sz w:val="15"/>
            <w:vertAlign w:val="superscript"/>
          </w:rPr>
          <w:t>[13]</w:t>
        </w:r>
      </w:hyperlink>
      <w:r>
        <w:t xml:space="preserve"> </w:t>
      </w:r>
      <w:hyperlink r:id="rId48">
        <w:r w:rsidR="00CD4596">
          <w:rPr>
            <w:color w:val="075A2C"/>
            <w:sz w:val="15"/>
            <w:vertAlign w:val="superscript"/>
          </w:rPr>
          <w:t>[14]</w:t>
        </w:r>
      </w:hyperlink>
      <w:r>
        <w:t xml:space="preserve"> </w:t>
      </w:r>
      <w:hyperlink r:id="rId49">
        <w:r w:rsidR="00CD4596">
          <w:rPr>
            <w:color w:val="075A2C"/>
            <w:sz w:val="15"/>
            <w:vertAlign w:val="superscript"/>
          </w:rPr>
          <w:t>[27]</w:t>
        </w:r>
      </w:hyperlink>
    </w:p>
    <w:p w14:paraId="1223C746" w14:textId="77777777" w:rsidR="00CD4596" w:rsidRDefault="00000000">
      <w:pPr>
        <w:pStyle w:val="ListBullet"/>
      </w:pPr>
      <w:r>
        <w:t>Publish eligibility rules and the public problem being solved.</w:t>
      </w:r>
    </w:p>
    <w:p w14:paraId="01A08AD2" w14:textId="77777777" w:rsidR="00CD4596" w:rsidRDefault="00000000">
      <w:pPr>
        <w:pStyle w:val="ListBullet"/>
      </w:pPr>
      <w:r>
        <w:t>Use competition or transparent selection wherever feasible.</w:t>
      </w:r>
    </w:p>
    <w:p w14:paraId="06FA4B39" w14:textId="77777777" w:rsidR="00CD4596" w:rsidRDefault="00000000">
      <w:pPr>
        <w:pStyle w:val="ListBullet"/>
      </w:pPr>
      <w:r>
        <w:t xml:space="preserve">Attach milestones, reporting, sunset dates and </w:t>
      </w:r>
      <w:proofErr w:type="spellStart"/>
      <w:r>
        <w:t>clawbacks</w:t>
      </w:r>
      <w:proofErr w:type="spellEnd"/>
      <w:r>
        <w:t xml:space="preserve"> to support.</w:t>
      </w:r>
    </w:p>
    <w:p w14:paraId="4B246E46" w14:textId="77777777" w:rsidR="00CD4596" w:rsidRDefault="00000000">
      <w:pPr>
        <w:pStyle w:val="ListBullet"/>
      </w:pPr>
      <w:r>
        <w:t>Avoid concentrating support without a clear competition and governance strategy.</w:t>
      </w:r>
    </w:p>
    <w:p w14:paraId="4FA74AFC" w14:textId="201AACB4" w:rsidR="00CD4596" w:rsidRDefault="00000000" w:rsidP="00624AAA">
      <w:pPr>
        <w:pStyle w:val="ListBullet"/>
      </w:pPr>
      <w:r>
        <w:t>Evaluate additionality: would the investment have happened at the same scale and time without support?</w:t>
      </w:r>
    </w:p>
    <w:p w14:paraId="1848A496" w14:textId="77777777" w:rsidR="00624AAA" w:rsidRDefault="00624AAA" w:rsidP="00624AAA">
      <w:pPr>
        <w:pStyle w:val="ListBullet"/>
        <w:numPr>
          <w:ilvl w:val="0"/>
          <w:numId w:val="0"/>
        </w:numPr>
        <w:ind w:left="360" w:hanging="360"/>
      </w:pPr>
    </w:p>
    <w:p w14:paraId="4147D049" w14:textId="2AFFA59E" w:rsidR="00624AAA" w:rsidRDefault="00624AAA" w:rsidP="00624AAA">
      <w:r>
        <w:t xml:space="preserve">Youth technologies </w:t>
      </w:r>
      <w:proofErr w:type="gramStart"/>
      <w:r>
        <w:t>proposes</w:t>
      </w:r>
      <w:proofErr w:type="gramEnd"/>
      <w:r>
        <w:t xml:space="preserve"> the Economic Developer Policy, a policy intended to guide the construction sector from constructing unproductive real estate projects towards creating real estate projects that are economically productive through presence of all asset classes, public and private services, infrastructure, following construction standards, and more. The </w:t>
      </w:r>
      <w:proofErr w:type="gramStart"/>
      <w:r>
        <w:t>rewards</w:t>
      </w:r>
      <w:proofErr w:type="gramEnd"/>
      <w:r>
        <w:t xml:space="preserve"> of this policy </w:t>
      </w:r>
      <w:proofErr w:type="gramStart"/>
      <w:r>
        <w:t>includes;</w:t>
      </w:r>
      <w:proofErr w:type="gramEnd"/>
      <w:r>
        <w:t xml:space="preserve"> cash rewards, tax breaks</w:t>
      </w:r>
      <w:proofErr w:type="gramStart"/>
      <w:r>
        <w:t>, free adjacent land</w:t>
      </w:r>
      <w:proofErr w:type="gramEnd"/>
      <w:r>
        <w:t xml:space="preserve"> upon project completion to allow second-phase growth.</w:t>
      </w:r>
    </w:p>
    <w:p w14:paraId="72C6D4E8" w14:textId="77777777" w:rsidR="00624AAA" w:rsidRDefault="00624AAA" w:rsidP="00624AAA">
      <w:pPr>
        <w:pStyle w:val="ListBullet"/>
        <w:numPr>
          <w:ilvl w:val="0"/>
          <w:numId w:val="0"/>
        </w:numPr>
        <w:ind w:left="360" w:hanging="360"/>
      </w:pPr>
    </w:p>
    <w:p w14:paraId="5FF475B8" w14:textId="77777777" w:rsidR="00CD4596" w:rsidRDefault="00000000">
      <w:pPr>
        <w:pStyle w:val="Heading2"/>
      </w:pPr>
      <w:proofErr w:type="gramStart"/>
      <w:r>
        <w:t>5.5  Productive</w:t>
      </w:r>
      <w:proofErr w:type="gramEnd"/>
      <w:r>
        <w:t xml:space="preserve"> Output Lens</w:t>
      </w:r>
    </w:p>
    <w:p w14:paraId="4054FB52" w14:textId="77777777" w:rsidR="00CD4596" w:rsidRDefault="00000000">
      <w:pPr>
        <w:pStyle w:val="BodyText"/>
      </w:pPr>
      <w:r>
        <w:t xml:space="preserve">The draft Theory of Productive GDP correctly directs attention to the composition and durability of output, but GDP accounting alone cannot prove that one sector causes growth. The revised Productive Output Lens ranks projects by what they add to capability and welfare. Manufacturing often performs strongly because it can support learning, exports and supplier linkages; high-productivity agriculture and tradable services can do the same. </w:t>
      </w:r>
      <w:hyperlink r:id="rId50">
        <w:r w:rsidR="00CD4596">
          <w:rPr>
            <w:color w:val="075A2C"/>
            <w:sz w:val="15"/>
            <w:vertAlign w:val="superscript"/>
          </w:rPr>
          <w:t>[10]</w:t>
        </w:r>
      </w:hyperlink>
      <w:r>
        <w:t xml:space="preserve"> </w:t>
      </w:r>
      <w:hyperlink r:id="rId51">
        <w:r w:rsidR="00CD4596">
          <w:rPr>
            <w:color w:val="075A2C"/>
            <w:sz w:val="15"/>
            <w:vertAlign w:val="superscript"/>
          </w:rPr>
          <w:t>[11]</w:t>
        </w:r>
      </w:hyperlink>
      <w:r>
        <w:t xml:space="preserve"> </w:t>
      </w:r>
      <w:hyperlink r:id="rId52">
        <w:r w:rsidR="00CD4596">
          <w:rPr>
            <w:color w:val="075A2C"/>
            <w:sz w:val="15"/>
            <w:vertAlign w:val="superscript"/>
          </w:rPr>
          <w:t>[12]</w:t>
        </w:r>
      </w:hyperlink>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500"/>
        <w:gridCol w:w="6860"/>
      </w:tblGrid>
      <w:tr w:rsidR="00CD4596" w14:paraId="65049CEB" w14:textId="77777777">
        <w:trPr>
          <w:tblHeader/>
          <w:jc w:val="center"/>
        </w:trPr>
        <w:tc>
          <w:tcPr>
            <w:tcW w:w="2500" w:type="dxa"/>
            <w:shd w:val="clear" w:color="auto" w:fill="075A2C"/>
            <w:tcMar>
              <w:top w:w="90" w:type="dxa"/>
              <w:left w:w="100" w:type="dxa"/>
              <w:bottom w:w="90" w:type="dxa"/>
              <w:right w:w="100" w:type="dxa"/>
            </w:tcMar>
            <w:vAlign w:val="center"/>
          </w:tcPr>
          <w:p w14:paraId="173A4CB6" w14:textId="77777777" w:rsidR="00CD4596" w:rsidRDefault="00000000">
            <w:r>
              <w:rPr>
                <w:b/>
                <w:color w:val="FFFFFF"/>
                <w:sz w:val="17"/>
              </w:rPr>
              <w:t>Criterion</w:t>
            </w:r>
          </w:p>
        </w:tc>
        <w:tc>
          <w:tcPr>
            <w:tcW w:w="6860" w:type="dxa"/>
            <w:shd w:val="clear" w:color="auto" w:fill="075A2C"/>
            <w:tcMar>
              <w:top w:w="90" w:type="dxa"/>
              <w:left w:w="100" w:type="dxa"/>
              <w:bottom w:w="90" w:type="dxa"/>
              <w:right w:w="100" w:type="dxa"/>
            </w:tcMar>
            <w:vAlign w:val="center"/>
          </w:tcPr>
          <w:p w14:paraId="329DA661" w14:textId="77777777" w:rsidR="00CD4596" w:rsidRDefault="00000000">
            <w:r>
              <w:rPr>
                <w:b/>
                <w:color w:val="FFFFFF"/>
                <w:sz w:val="17"/>
              </w:rPr>
              <w:t>Question</w:t>
            </w:r>
          </w:p>
        </w:tc>
      </w:tr>
      <w:tr w:rsidR="00CD4596" w14:paraId="65E80A72" w14:textId="77777777">
        <w:trPr>
          <w:cantSplit/>
          <w:jc w:val="center"/>
        </w:trPr>
        <w:tc>
          <w:tcPr>
            <w:tcW w:w="2500" w:type="dxa"/>
          </w:tcPr>
          <w:p w14:paraId="7D04E0B9" w14:textId="77777777" w:rsidR="00CD4596" w:rsidRDefault="00000000">
            <w:pPr>
              <w:pStyle w:val="TableText"/>
            </w:pPr>
            <w:r>
              <w:rPr>
                <w:b/>
                <w:color w:val="075A2C"/>
              </w:rPr>
              <w:t>Productivity</w:t>
            </w:r>
          </w:p>
        </w:tc>
        <w:tc>
          <w:tcPr>
            <w:tcW w:w="6860" w:type="dxa"/>
          </w:tcPr>
          <w:p w14:paraId="3F2E14FD" w14:textId="77777777" w:rsidR="00CD4596" w:rsidRDefault="00000000">
            <w:pPr>
              <w:pStyle w:val="TableText"/>
            </w:pPr>
            <w:r>
              <w:t>Does the project raise output or quality per unit of labor, land, water, energy or capital?</w:t>
            </w:r>
          </w:p>
        </w:tc>
      </w:tr>
      <w:tr w:rsidR="00CD4596" w14:paraId="73BEA9A6" w14:textId="77777777">
        <w:trPr>
          <w:cantSplit/>
          <w:jc w:val="center"/>
        </w:trPr>
        <w:tc>
          <w:tcPr>
            <w:tcW w:w="2500" w:type="dxa"/>
            <w:shd w:val="clear" w:color="auto" w:fill="F3F5F4"/>
          </w:tcPr>
          <w:p w14:paraId="11E59DC5" w14:textId="77777777" w:rsidR="00CD4596" w:rsidRDefault="00000000">
            <w:pPr>
              <w:pStyle w:val="TableText"/>
            </w:pPr>
            <w:r>
              <w:rPr>
                <w:b/>
                <w:color w:val="075A2C"/>
              </w:rPr>
              <w:t>Domestic value added</w:t>
            </w:r>
          </w:p>
        </w:tc>
        <w:tc>
          <w:tcPr>
            <w:tcW w:w="6860" w:type="dxa"/>
            <w:shd w:val="clear" w:color="auto" w:fill="F3F5F4"/>
          </w:tcPr>
          <w:p w14:paraId="30E246B0" w14:textId="77777777" w:rsidR="00CD4596" w:rsidRDefault="00000000">
            <w:pPr>
              <w:pStyle w:val="TableText"/>
            </w:pPr>
            <w:r>
              <w:t>How much income remains in the economy after imported inputs and external payments?</w:t>
            </w:r>
          </w:p>
        </w:tc>
      </w:tr>
      <w:tr w:rsidR="00CD4596" w14:paraId="7B75AF80" w14:textId="77777777">
        <w:trPr>
          <w:cantSplit/>
          <w:jc w:val="center"/>
        </w:trPr>
        <w:tc>
          <w:tcPr>
            <w:tcW w:w="2500" w:type="dxa"/>
          </w:tcPr>
          <w:p w14:paraId="747F2BBB" w14:textId="77777777" w:rsidR="00CD4596" w:rsidRDefault="00000000">
            <w:pPr>
              <w:pStyle w:val="TableText"/>
            </w:pPr>
            <w:r>
              <w:rPr>
                <w:b/>
                <w:color w:val="075A2C"/>
              </w:rPr>
              <w:t>Foreign exchange</w:t>
            </w:r>
          </w:p>
        </w:tc>
        <w:tc>
          <w:tcPr>
            <w:tcW w:w="6860" w:type="dxa"/>
          </w:tcPr>
          <w:p w14:paraId="4DBD8A76" w14:textId="77777777" w:rsidR="00CD4596" w:rsidRDefault="00000000">
            <w:pPr>
              <w:pStyle w:val="TableText"/>
            </w:pPr>
            <w:r>
              <w:t>Does it earn, save or require foreign currency—and when?</w:t>
            </w:r>
          </w:p>
        </w:tc>
      </w:tr>
      <w:tr w:rsidR="00CD4596" w14:paraId="2F1FC5EE" w14:textId="77777777">
        <w:trPr>
          <w:cantSplit/>
          <w:jc w:val="center"/>
        </w:trPr>
        <w:tc>
          <w:tcPr>
            <w:tcW w:w="2500" w:type="dxa"/>
            <w:shd w:val="clear" w:color="auto" w:fill="F3F5F4"/>
          </w:tcPr>
          <w:p w14:paraId="6CDAAB26" w14:textId="77777777" w:rsidR="00CD4596" w:rsidRDefault="00000000">
            <w:pPr>
              <w:pStyle w:val="TableText"/>
            </w:pPr>
            <w:r>
              <w:rPr>
                <w:b/>
                <w:color w:val="075A2C"/>
              </w:rPr>
              <w:t>Linkages</w:t>
            </w:r>
          </w:p>
        </w:tc>
        <w:tc>
          <w:tcPr>
            <w:tcW w:w="6860" w:type="dxa"/>
            <w:shd w:val="clear" w:color="auto" w:fill="F3F5F4"/>
          </w:tcPr>
          <w:p w14:paraId="1BE4AF24" w14:textId="77777777" w:rsidR="00CD4596" w:rsidRDefault="00000000">
            <w:pPr>
              <w:pStyle w:val="TableText"/>
            </w:pPr>
            <w:r>
              <w:t>Does it create credible demand for domestic suppliers, services, skills or infrastructure?</w:t>
            </w:r>
          </w:p>
        </w:tc>
      </w:tr>
      <w:tr w:rsidR="00CD4596" w14:paraId="16CACCD3" w14:textId="77777777">
        <w:trPr>
          <w:cantSplit/>
          <w:jc w:val="center"/>
        </w:trPr>
        <w:tc>
          <w:tcPr>
            <w:tcW w:w="2500" w:type="dxa"/>
          </w:tcPr>
          <w:p w14:paraId="70F90ABB" w14:textId="77777777" w:rsidR="00CD4596" w:rsidRDefault="00000000">
            <w:pPr>
              <w:pStyle w:val="TableText"/>
            </w:pPr>
            <w:r>
              <w:rPr>
                <w:b/>
                <w:color w:val="075A2C"/>
              </w:rPr>
              <w:t>Learning</w:t>
            </w:r>
          </w:p>
        </w:tc>
        <w:tc>
          <w:tcPr>
            <w:tcW w:w="6860" w:type="dxa"/>
          </w:tcPr>
          <w:p w14:paraId="1D1DAEE2" w14:textId="77777777" w:rsidR="00CD4596" w:rsidRDefault="00000000">
            <w:pPr>
              <w:pStyle w:val="TableText"/>
            </w:pPr>
            <w:r>
              <w:t>Does it build reusable technical, managerial or scientific capability?</w:t>
            </w:r>
          </w:p>
        </w:tc>
      </w:tr>
      <w:tr w:rsidR="00CD4596" w14:paraId="09E8AFC3" w14:textId="77777777">
        <w:trPr>
          <w:cantSplit/>
          <w:jc w:val="center"/>
        </w:trPr>
        <w:tc>
          <w:tcPr>
            <w:tcW w:w="2500" w:type="dxa"/>
            <w:shd w:val="clear" w:color="auto" w:fill="F3F5F4"/>
          </w:tcPr>
          <w:p w14:paraId="7D208162" w14:textId="77777777" w:rsidR="00CD4596" w:rsidRDefault="00000000">
            <w:pPr>
              <w:pStyle w:val="TableText"/>
            </w:pPr>
            <w:r>
              <w:rPr>
                <w:b/>
                <w:color w:val="075A2C"/>
              </w:rPr>
              <w:t>Resilience</w:t>
            </w:r>
          </w:p>
        </w:tc>
        <w:tc>
          <w:tcPr>
            <w:tcW w:w="6860" w:type="dxa"/>
            <w:shd w:val="clear" w:color="auto" w:fill="F3F5F4"/>
          </w:tcPr>
          <w:p w14:paraId="6310786C" w14:textId="77777777" w:rsidR="00CD4596" w:rsidRDefault="00000000">
            <w:pPr>
              <w:pStyle w:val="TableText"/>
            </w:pPr>
            <w:r>
              <w:t>Does it reduce concentration, disruption or critical-import risk without excessive cost?</w:t>
            </w:r>
          </w:p>
        </w:tc>
      </w:tr>
      <w:tr w:rsidR="00CD4596" w14:paraId="72A5A0B6" w14:textId="77777777">
        <w:trPr>
          <w:cantSplit/>
          <w:jc w:val="center"/>
        </w:trPr>
        <w:tc>
          <w:tcPr>
            <w:tcW w:w="2500" w:type="dxa"/>
          </w:tcPr>
          <w:p w14:paraId="3EAB8E3A" w14:textId="77777777" w:rsidR="00CD4596" w:rsidRDefault="00000000">
            <w:pPr>
              <w:pStyle w:val="TableText"/>
            </w:pPr>
            <w:r>
              <w:rPr>
                <w:b/>
                <w:color w:val="075A2C"/>
              </w:rPr>
              <w:t>Human and environmental value</w:t>
            </w:r>
          </w:p>
        </w:tc>
        <w:tc>
          <w:tcPr>
            <w:tcW w:w="6860" w:type="dxa"/>
          </w:tcPr>
          <w:p w14:paraId="567C1E5C" w14:textId="77777777" w:rsidR="00CD4596" w:rsidRDefault="00000000">
            <w:pPr>
              <w:pStyle w:val="TableText"/>
            </w:pPr>
            <w:r>
              <w:t>Does it improve access and welfare within water, energy, emissions and ecological limits?</w:t>
            </w:r>
          </w:p>
        </w:tc>
      </w:tr>
      <w:tr w:rsidR="00CD4596" w14:paraId="352F313F" w14:textId="77777777">
        <w:trPr>
          <w:cantSplit/>
          <w:jc w:val="center"/>
        </w:trPr>
        <w:tc>
          <w:tcPr>
            <w:tcW w:w="2500" w:type="dxa"/>
            <w:shd w:val="clear" w:color="auto" w:fill="F3F5F4"/>
          </w:tcPr>
          <w:p w14:paraId="57135888" w14:textId="77777777" w:rsidR="00CD4596" w:rsidRDefault="00000000">
            <w:pPr>
              <w:pStyle w:val="TableText"/>
            </w:pPr>
            <w:r>
              <w:rPr>
                <w:b/>
                <w:color w:val="075A2C"/>
              </w:rPr>
              <w:t>Commercial and fiscal durability</w:t>
            </w:r>
          </w:p>
        </w:tc>
        <w:tc>
          <w:tcPr>
            <w:tcW w:w="6860" w:type="dxa"/>
            <w:shd w:val="clear" w:color="auto" w:fill="F3F5F4"/>
          </w:tcPr>
          <w:p w14:paraId="1C384156" w14:textId="77777777" w:rsidR="00CD4596" w:rsidRDefault="00000000">
            <w:pPr>
              <w:pStyle w:val="TableText"/>
            </w:pPr>
            <w:r>
              <w:t>Can operations, maintenance, debt and public obligations be sustained?</w:t>
            </w:r>
          </w:p>
        </w:tc>
      </w:tr>
    </w:tbl>
    <w:p w14:paraId="6E810FC8" w14:textId="77777777" w:rsidR="00CD4596" w:rsidRDefault="00000000">
      <w:pPr>
        <w:pStyle w:val="Heading2"/>
      </w:pPr>
      <w:proofErr w:type="gramStart"/>
      <w:r>
        <w:t>5.6  Growing</w:t>
      </w:r>
      <w:proofErr w:type="gramEnd"/>
      <w:r>
        <w:t xml:space="preserve"> Society Theory</w:t>
      </w:r>
    </w:p>
    <w:p w14:paraId="684759F3" w14:textId="1289D64E" w:rsidR="00CD4596" w:rsidRDefault="00000000">
      <w:pPr>
        <w:pStyle w:val="BodyText"/>
      </w:pPr>
      <w:r>
        <w:t>Growing Society Theory states that development should be visible in people’s physical capabilities and living conditions. A society is growing when more people can reliably access nutritious food, safe housing, mobility, healthcare, education, energy, digital connectivity and productive work</w:t>
      </w:r>
      <w:r w:rsidR="00E87463">
        <w:t xml:space="preserve">, </w:t>
      </w:r>
      <w:r>
        <w:t>and when the quality and resource efficiency of those systems improves. The emphasis is on real access</w:t>
      </w:r>
      <w:r w:rsidR="00EF7C61">
        <w:t xml:space="preserve">, </w:t>
      </w:r>
      <w:r w:rsidR="00EF7C61">
        <w:lastRenderedPageBreak/>
        <w:t>economic productivity and output, financial growth of individuals and firms, technological improvement,</w:t>
      </w:r>
      <w:r>
        <w:t xml:space="preserve"> and time saved, not the mere existence of an asset.</w:t>
      </w:r>
    </w:p>
    <w:p w14:paraId="1452A781" w14:textId="77777777" w:rsidR="00CD4596" w:rsidRDefault="00000000">
      <w:pPr>
        <w:pStyle w:val="Heading2"/>
      </w:pPr>
      <w:proofErr w:type="gramStart"/>
      <w:r>
        <w:t>5.7  Commercial</w:t>
      </w:r>
      <w:proofErr w:type="gramEnd"/>
      <w:r>
        <w:t xml:space="preserve"> Keynes Theory</w:t>
      </w:r>
    </w:p>
    <w:p w14:paraId="43B5C9F5" w14:textId="50AB12B9" w:rsidR="00D170BE" w:rsidRDefault="00000000">
      <w:pPr>
        <w:pStyle w:val="BodyText"/>
      </w:pPr>
      <w:r>
        <w:t>Commercial Keynes Theory supports counter-cyclical action that preserves employment and builds useful productive assets during downturns</w:t>
      </w:r>
      <w:r w:rsidR="00D170BE">
        <w:t xml:space="preserve"> that government holds and earns from</w:t>
      </w:r>
      <w:r>
        <w:t xml:space="preserve">. </w:t>
      </w:r>
      <w:r w:rsidR="00D170BE">
        <w:t xml:space="preserve">It is not merely increasing government spending, it is turning government spending into government investment through financing projects from state financial institutions that hold portfolios and return earnings to government that helps grow </w:t>
      </w:r>
      <w:proofErr w:type="spellStart"/>
      <w:proofErr w:type="gramStart"/>
      <w:r w:rsidR="00D170BE">
        <w:t>it’s</w:t>
      </w:r>
      <w:proofErr w:type="spellEnd"/>
      <w:proofErr w:type="gramEnd"/>
      <w:r w:rsidR="00D170BE">
        <w:t xml:space="preserve"> budget, capabilities, and earnings. This method seeks to create a source of income that is just as strong as taxes, which is government investments into its own private sectors through state-run venture capital firms</w:t>
      </w:r>
      <w:r w:rsidR="001B07EC">
        <w:t xml:space="preserve"> in specific sectors like industry, construction, agriculture, and more</w:t>
      </w:r>
      <w:r w:rsidR="00D170BE">
        <w:t xml:space="preserve"> or </w:t>
      </w:r>
      <w:r w:rsidR="006D56F5">
        <w:t>a Youth Technologies proposed equity banking model called Sector-Specific Banks.</w:t>
      </w:r>
    </w:p>
    <w:p w14:paraId="3035140B" w14:textId="77777777" w:rsidR="00D170BE" w:rsidRDefault="00D170BE">
      <w:pPr>
        <w:pStyle w:val="BodyText"/>
      </w:pPr>
    </w:p>
    <w:p w14:paraId="41F0CCBD" w14:textId="3CFCFF85" w:rsidR="00CD4596" w:rsidRDefault="00000000">
      <w:pPr>
        <w:pStyle w:val="BodyText"/>
      </w:pPr>
      <w:r>
        <w:t>Its central discipline is project quality. Spending that can begin quickly, uses available capacity and creates maintained assets may support demand today and supply tomorrow. But slow, import-heavy or poorly governed megaprojects can worsen debt and foreign-exchange pressure</w:t>
      </w:r>
      <w:r w:rsidR="001B07EC">
        <w:t xml:space="preserve"> while producing income for the government due to </w:t>
      </w:r>
      <w:proofErr w:type="spellStart"/>
      <w:proofErr w:type="gramStart"/>
      <w:r w:rsidR="001B07EC">
        <w:t>it’s</w:t>
      </w:r>
      <w:proofErr w:type="spellEnd"/>
      <w:proofErr w:type="gramEnd"/>
      <w:r w:rsidR="001B07EC">
        <w:t xml:space="preserve"> stake in its industries</w:t>
      </w:r>
      <w:r>
        <w:t xml:space="preserve">. The American New Deal illustrates both the value of public works and the </w:t>
      </w:r>
      <w:r w:rsidR="00EE7BC8">
        <w:t xml:space="preserve">benefit of government spending in </w:t>
      </w:r>
      <w:r>
        <w:t xml:space="preserve">a macroeconomic </w:t>
      </w:r>
      <w:r w:rsidR="00EE7BC8">
        <w:t>recession</w:t>
      </w:r>
      <w:r w:rsidR="009269A9">
        <w:t xml:space="preserve"> especially to fuel infrastructure, social, and </w:t>
      </w:r>
      <w:proofErr w:type="gramStart"/>
      <w:r w:rsidR="009269A9">
        <w:t xml:space="preserve">productive </w:t>
      </w:r>
      <w:r>
        <w:t>.</w:t>
      </w:r>
      <w:proofErr w:type="gramEnd"/>
      <w:r>
        <w:t xml:space="preserve"> </w:t>
      </w:r>
      <w:hyperlink r:id="rId53">
        <w:r w:rsidR="00CD4596">
          <w:rPr>
            <w:color w:val="075A2C"/>
            <w:sz w:val="15"/>
            <w:vertAlign w:val="superscript"/>
          </w:rPr>
          <w:t>[6]</w:t>
        </w:r>
      </w:hyperlink>
    </w:p>
    <w:p w14:paraId="5A537BA5" w14:textId="77777777" w:rsidR="00EE7BC8" w:rsidRDefault="00EE7BC8">
      <w:pPr>
        <w:pStyle w:val="BodyText"/>
      </w:pPr>
    </w:p>
    <w:p w14:paraId="6EBFE909" w14:textId="77777777" w:rsidR="00CD4596" w:rsidRDefault="00000000">
      <w:pPr>
        <w:pStyle w:val="Heading1"/>
        <w:pageBreakBefore/>
        <w:pBdr>
          <w:bottom w:val="single" w:sz="6" w:space="6" w:color="CFE5D7"/>
        </w:pBdr>
      </w:pPr>
      <w:proofErr w:type="gramStart"/>
      <w:r>
        <w:rPr>
          <w:color w:val="2F7D52"/>
        </w:rPr>
        <w:lastRenderedPageBreak/>
        <w:t xml:space="preserve">06  </w:t>
      </w:r>
      <w:r>
        <w:t>Applied</w:t>
      </w:r>
      <w:proofErr w:type="gramEnd"/>
      <w:r>
        <w:t xml:space="preserve"> instruments</w:t>
      </w:r>
    </w:p>
    <w:p w14:paraId="535BEBD0" w14:textId="77777777" w:rsidR="00CD4596" w:rsidRDefault="00000000">
      <w:pPr>
        <w:pStyle w:val="ChapterSubtitle"/>
      </w:pPr>
      <w:r>
        <w:t>The instruments below are design families. Each requires local feasibility, regulation and a responsible operator.</w:t>
      </w:r>
    </w:p>
    <w:p w14:paraId="087279FC" w14:textId="77777777" w:rsidR="00CD4596" w:rsidRDefault="00000000">
      <w:pPr>
        <w:pStyle w:val="Heading2"/>
      </w:pPr>
      <w:proofErr w:type="gramStart"/>
      <w:r>
        <w:t>6.1  Economic</w:t>
      </w:r>
      <w:proofErr w:type="gramEnd"/>
      <w:r>
        <w:t xml:space="preserve"> towns</w:t>
      </w:r>
    </w:p>
    <w:p w14:paraId="2ABE6FD8" w14:textId="77777777" w:rsidR="00CD4596" w:rsidRDefault="00000000">
      <w:pPr>
        <w:pStyle w:val="BodyText"/>
      </w:pPr>
      <w:r>
        <w:t xml:space="preserve">An economic town is a place-based productive system that combines employment anchors, suppliers, housing, public services, utilities, logistics and environmental management. It is not simply a residential development beside an industrial zone. Competitive-city and place-based evidence suggests that jobs, connectivity, institutions and quality of life interact; industrial-park guidance adds the need for professional management, services and performance standards. </w:t>
      </w:r>
      <w:hyperlink r:id="rId54">
        <w:r w:rsidR="00CD4596">
          <w:rPr>
            <w:color w:val="075A2C"/>
            <w:sz w:val="15"/>
            <w:vertAlign w:val="superscript"/>
          </w:rPr>
          <w:t>[19]</w:t>
        </w:r>
      </w:hyperlink>
      <w:r>
        <w:t xml:space="preserve"> </w:t>
      </w:r>
      <w:hyperlink r:id="rId55">
        <w:r w:rsidR="00CD4596">
          <w:rPr>
            <w:color w:val="075A2C"/>
            <w:sz w:val="15"/>
            <w:vertAlign w:val="superscript"/>
          </w:rPr>
          <w:t>[18]</w:t>
        </w:r>
      </w:hyperlink>
      <w:r>
        <w:t xml:space="preserve"> </w:t>
      </w:r>
      <w:hyperlink r:id="rId56">
        <w:r w:rsidR="00CD4596">
          <w:rPr>
            <w:color w:val="075A2C"/>
            <w:sz w:val="15"/>
            <w:vertAlign w:val="superscript"/>
          </w:rPr>
          <w:t>[25]</w:t>
        </w:r>
      </w:hyperlink>
      <w:r>
        <w:t xml:space="preserve"> </w:t>
      </w:r>
      <w:hyperlink r:id="rId57">
        <w:r w:rsidR="00CD4596">
          <w:rPr>
            <w:color w:val="075A2C"/>
            <w:sz w:val="15"/>
            <w:vertAlign w:val="superscript"/>
          </w:rPr>
          <w:t>[26]</w:t>
        </w:r>
      </w:hyperlink>
      <w:r>
        <w:t xml:space="preserve"> </w:t>
      </w:r>
      <w:hyperlink r:id="rId58">
        <w:r w:rsidR="00CD4596">
          <w:rPr>
            <w:color w:val="075A2C"/>
            <w:sz w:val="15"/>
            <w:vertAlign w:val="superscript"/>
          </w:rPr>
          <w:t>[24]</w:t>
        </w:r>
      </w:hyperlink>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400"/>
        <w:gridCol w:w="6960"/>
      </w:tblGrid>
      <w:tr w:rsidR="00CD4596" w14:paraId="6970020E" w14:textId="77777777">
        <w:trPr>
          <w:tblHeader/>
          <w:jc w:val="center"/>
        </w:trPr>
        <w:tc>
          <w:tcPr>
            <w:tcW w:w="2400" w:type="dxa"/>
            <w:shd w:val="clear" w:color="auto" w:fill="075A2C"/>
            <w:tcMar>
              <w:top w:w="90" w:type="dxa"/>
              <w:left w:w="100" w:type="dxa"/>
              <w:bottom w:w="90" w:type="dxa"/>
              <w:right w:w="100" w:type="dxa"/>
            </w:tcMar>
            <w:vAlign w:val="center"/>
          </w:tcPr>
          <w:p w14:paraId="66D58D41" w14:textId="77777777" w:rsidR="00CD4596" w:rsidRDefault="00000000">
            <w:r>
              <w:rPr>
                <w:b/>
                <w:color w:val="FFFFFF"/>
                <w:sz w:val="17"/>
              </w:rPr>
              <w:t>Design layer</w:t>
            </w:r>
          </w:p>
        </w:tc>
        <w:tc>
          <w:tcPr>
            <w:tcW w:w="6960" w:type="dxa"/>
            <w:shd w:val="clear" w:color="auto" w:fill="075A2C"/>
            <w:tcMar>
              <w:top w:w="90" w:type="dxa"/>
              <w:left w:w="100" w:type="dxa"/>
              <w:bottom w:w="90" w:type="dxa"/>
              <w:right w:w="100" w:type="dxa"/>
            </w:tcMar>
            <w:vAlign w:val="center"/>
          </w:tcPr>
          <w:p w14:paraId="2998E403" w14:textId="77777777" w:rsidR="00CD4596" w:rsidRDefault="00000000">
            <w:r>
              <w:rPr>
                <w:b/>
                <w:color w:val="FFFFFF"/>
                <w:sz w:val="17"/>
              </w:rPr>
              <w:t>Minimum decision</w:t>
            </w:r>
          </w:p>
        </w:tc>
      </w:tr>
      <w:tr w:rsidR="00CD4596" w14:paraId="7C70BCB5" w14:textId="77777777">
        <w:trPr>
          <w:cantSplit/>
          <w:jc w:val="center"/>
        </w:trPr>
        <w:tc>
          <w:tcPr>
            <w:tcW w:w="2400" w:type="dxa"/>
          </w:tcPr>
          <w:p w14:paraId="090BD16B" w14:textId="77777777" w:rsidR="00CD4596" w:rsidRDefault="00000000">
            <w:pPr>
              <w:pStyle w:val="TableText"/>
            </w:pPr>
            <w:r>
              <w:rPr>
                <w:b/>
                <w:color w:val="075A2C"/>
              </w:rPr>
              <w:t>Economic anchors</w:t>
            </w:r>
          </w:p>
        </w:tc>
        <w:tc>
          <w:tcPr>
            <w:tcW w:w="6960" w:type="dxa"/>
          </w:tcPr>
          <w:p w14:paraId="256DB2CA" w14:textId="77777777" w:rsidR="00CD4596" w:rsidRDefault="00000000">
            <w:pPr>
              <w:pStyle w:val="TableText"/>
            </w:pPr>
            <w:r>
              <w:t>Demand-tested sectors, named operators or a credible phased investor pipeline.</w:t>
            </w:r>
          </w:p>
        </w:tc>
      </w:tr>
      <w:tr w:rsidR="00CD4596" w14:paraId="40CB3FB9" w14:textId="77777777">
        <w:trPr>
          <w:cantSplit/>
          <w:jc w:val="center"/>
        </w:trPr>
        <w:tc>
          <w:tcPr>
            <w:tcW w:w="2400" w:type="dxa"/>
            <w:shd w:val="clear" w:color="auto" w:fill="F3F5F4"/>
          </w:tcPr>
          <w:p w14:paraId="0C0456FB" w14:textId="1F798DE2" w:rsidR="00CD4596" w:rsidRDefault="00D341C9">
            <w:pPr>
              <w:pStyle w:val="TableText"/>
            </w:pPr>
            <w:r>
              <w:rPr>
                <w:b/>
                <w:color w:val="075A2C"/>
              </w:rPr>
              <w:t>Development</w:t>
            </w:r>
          </w:p>
        </w:tc>
        <w:tc>
          <w:tcPr>
            <w:tcW w:w="6960" w:type="dxa"/>
            <w:shd w:val="clear" w:color="auto" w:fill="F3F5F4"/>
          </w:tcPr>
          <w:p w14:paraId="1D898BF7" w14:textId="77777777" w:rsidR="00CD4596" w:rsidRDefault="00000000">
            <w:pPr>
              <w:pStyle w:val="TableText"/>
            </w:pPr>
            <w:r>
              <w:t>Housing mix, affordability, worker mobility, schools, healthcare, public realm and safety.</w:t>
            </w:r>
          </w:p>
        </w:tc>
      </w:tr>
      <w:tr w:rsidR="00CD4596" w14:paraId="29097C63" w14:textId="77777777">
        <w:trPr>
          <w:cantSplit/>
          <w:jc w:val="center"/>
        </w:trPr>
        <w:tc>
          <w:tcPr>
            <w:tcW w:w="2400" w:type="dxa"/>
          </w:tcPr>
          <w:p w14:paraId="50587080" w14:textId="77777777" w:rsidR="00CD4596" w:rsidRDefault="00000000">
            <w:pPr>
              <w:pStyle w:val="TableText"/>
            </w:pPr>
            <w:r>
              <w:rPr>
                <w:b/>
                <w:color w:val="075A2C"/>
              </w:rPr>
              <w:t>Utilities</w:t>
            </w:r>
          </w:p>
        </w:tc>
        <w:tc>
          <w:tcPr>
            <w:tcW w:w="6960" w:type="dxa"/>
          </w:tcPr>
          <w:p w14:paraId="6BE0C599" w14:textId="463CA911" w:rsidR="00CD4596" w:rsidRDefault="00000000">
            <w:pPr>
              <w:pStyle w:val="TableText"/>
            </w:pPr>
            <w:r>
              <w:t xml:space="preserve">Water, </w:t>
            </w:r>
            <w:r w:rsidR="00453E8A">
              <w:t xml:space="preserve">centralized air conditioning of public buildings, </w:t>
            </w:r>
            <w:r>
              <w:t xml:space="preserve">energy reliability, digital </w:t>
            </w:r>
            <w:r w:rsidR="00AC1370">
              <w:t>and telecom infrastructure</w:t>
            </w:r>
            <w:r>
              <w:t>, waste and wastewater systems, redundanc</w:t>
            </w:r>
            <w:r w:rsidR="006828AC">
              <w:t>y, road planning</w:t>
            </w:r>
            <w:r>
              <w:t>.</w:t>
            </w:r>
          </w:p>
        </w:tc>
      </w:tr>
      <w:tr w:rsidR="00CD4596" w14:paraId="7ED12113" w14:textId="77777777">
        <w:trPr>
          <w:cantSplit/>
          <w:jc w:val="center"/>
        </w:trPr>
        <w:tc>
          <w:tcPr>
            <w:tcW w:w="2400" w:type="dxa"/>
            <w:shd w:val="clear" w:color="auto" w:fill="F3F5F4"/>
          </w:tcPr>
          <w:p w14:paraId="6BF5BAE7" w14:textId="77777777" w:rsidR="00CD4596" w:rsidRDefault="00000000">
            <w:pPr>
              <w:pStyle w:val="TableText"/>
            </w:pPr>
            <w:r>
              <w:rPr>
                <w:b/>
                <w:color w:val="075A2C"/>
              </w:rPr>
              <w:t>Logistics</w:t>
            </w:r>
          </w:p>
        </w:tc>
        <w:tc>
          <w:tcPr>
            <w:tcW w:w="6960" w:type="dxa"/>
            <w:shd w:val="clear" w:color="auto" w:fill="F3F5F4"/>
          </w:tcPr>
          <w:p w14:paraId="4D10210F" w14:textId="77777777" w:rsidR="00CD4596" w:rsidRDefault="00000000">
            <w:pPr>
              <w:pStyle w:val="TableText"/>
            </w:pPr>
            <w:r>
              <w:t>Road, rail or port connectivity; freight circulation; storage; customs and export services.</w:t>
            </w:r>
          </w:p>
        </w:tc>
      </w:tr>
      <w:tr w:rsidR="00CD4596" w14:paraId="5B9D57FC" w14:textId="77777777">
        <w:trPr>
          <w:cantSplit/>
          <w:jc w:val="center"/>
        </w:trPr>
        <w:tc>
          <w:tcPr>
            <w:tcW w:w="2400" w:type="dxa"/>
          </w:tcPr>
          <w:p w14:paraId="37EED3EF" w14:textId="77777777" w:rsidR="00CD4596" w:rsidRDefault="00000000">
            <w:pPr>
              <w:pStyle w:val="TableText"/>
            </w:pPr>
            <w:r>
              <w:rPr>
                <w:b/>
                <w:color w:val="075A2C"/>
              </w:rPr>
              <w:t>Governance</w:t>
            </w:r>
          </w:p>
        </w:tc>
        <w:tc>
          <w:tcPr>
            <w:tcW w:w="6960" w:type="dxa"/>
          </w:tcPr>
          <w:p w14:paraId="60453F61" w14:textId="77777777" w:rsidR="00CD4596" w:rsidRDefault="00000000">
            <w:pPr>
              <w:pStyle w:val="TableText"/>
            </w:pPr>
            <w:r>
              <w:t>Land authority, town operator, service standards, tariffs, maintenance and grievance channels.</w:t>
            </w:r>
          </w:p>
        </w:tc>
      </w:tr>
      <w:tr w:rsidR="00CD4596" w14:paraId="45BA1A74" w14:textId="77777777">
        <w:trPr>
          <w:cantSplit/>
          <w:jc w:val="center"/>
        </w:trPr>
        <w:tc>
          <w:tcPr>
            <w:tcW w:w="2400" w:type="dxa"/>
            <w:shd w:val="clear" w:color="auto" w:fill="F3F5F4"/>
          </w:tcPr>
          <w:p w14:paraId="3E454007" w14:textId="77777777" w:rsidR="00CD4596" w:rsidRDefault="00000000">
            <w:pPr>
              <w:pStyle w:val="TableText"/>
            </w:pPr>
            <w:r>
              <w:rPr>
                <w:b/>
                <w:color w:val="075A2C"/>
              </w:rPr>
              <w:t>Phasing</w:t>
            </w:r>
          </w:p>
        </w:tc>
        <w:tc>
          <w:tcPr>
            <w:tcW w:w="6960" w:type="dxa"/>
            <w:shd w:val="clear" w:color="auto" w:fill="F3F5F4"/>
          </w:tcPr>
          <w:p w14:paraId="01B63273" w14:textId="77777777" w:rsidR="00CD4596" w:rsidRDefault="00000000">
            <w:pPr>
              <w:pStyle w:val="TableText"/>
            </w:pPr>
            <w:r>
              <w:t xml:space="preserve">Occupancy and infrastructure </w:t>
            </w:r>
            <w:proofErr w:type="gramStart"/>
            <w:r>
              <w:t>released</w:t>
            </w:r>
            <w:proofErr w:type="gramEnd"/>
            <w:r>
              <w:t xml:space="preserve"> in stages; avoid building full capacity before demand is proven.</w:t>
            </w:r>
          </w:p>
        </w:tc>
      </w:tr>
    </w:tbl>
    <w:p w14:paraId="0F95A239" w14:textId="77777777" w:rsidR="00CD4596" w:rsidRDefault="00000000">
      <w:pPr>
        <w:pStyle w:val="BodyText"/>
      </w:pPr>
      <w:r>
        <w:t>Within these towns, Youth’s micro-commercialism principle favors safe, standardized spaces that can adapt to small productive firms—such as modular workshops, shared kitchens, repair bays, cold rooms and bookable logistics services. The objective is to lower entry costs without compromising public access, safety or formal regulation.</w:t>
      </w:r>
    </w:p>
    <w:p w14:paraId="7A7D1329" w14:textId="77777777" w:rsidR="00CD4596" w:rsidRDefault="00000000">
      <w:pPr>
        <w:pStyle w:val="Heading2"/>
      </w:pPr>
      <w:proofErr w:type="gramStart"/>
      <w:r>
        <w:t>6.2  Sector</w:t>
      </w:r>
      <w:proofErr w:type="gramEnd"/>
      <w:r>
        <w:t>-focused productive finance</w:t>
      </w:r>
    </w:p>
    <w:p w14:paraId="2B54FD6A" w14:textId="77777777" w:rsidR="00CD4596" w:rsidRDefault="00000000">
      <w:pPr>
        <w:pStyle w:val="BodyText"/>
      </w:pPr>
      <w:r>
        <w:t xml:space="preserve">The source proposal’s sector-specific banking concept addresses a real financing gap: long-lived productive assets and learning-intensive firms often need finance that understands their sector. The prudent design may be a dedicated fund, lending window, leasing company, guarantee program or development-finance institution rather than a deposit-taking bank. The form should follow the risk. Infrastructure is generally better matched with long-term, stable funding than with short-term liabilities. </w:t>
      </w:r>
      <w:hyperlink r:id="rId59">
        <w:r w:rsidR="00CD4596">
          <w:rPr>
            <w:color w:val="075A2C"/>
            <w:sz w:val="15"/>
            <w:vertAlign w:val="superscript"/>
          </w:rPr>
          <w:t>[22]</w:t>
        </w:r>
      </w:hyperlink>
    </w:p>
    <w:p w14:paraId="768A862C" w14:textId="77777777" w:rsidR="00CD4596" w:rsidRDefault="00000000">
      <w:pPr>
        <w:pStyle w:val="BodyText"/>
      </w:pPr>
      <w:r>
        <w:t>No structure eliminates credit loss. Any regulated vehicle requires legal and prudential review, qualified governance, capital and liquidity rules, asset valuation, concentration limits, consumer or depositor protection, anti-money-laundering controls and independent risk management. In Egypt, the Central Bank of Egypt, Financial Regulatory Authority and other competent bodies determine the applicable perimeter.</w:t>
      </w:r>
    </w:p>
    <w:p w14:paraId="3B4A4ECE" w14:textId="77777777" w:rsidR="00CD4596" w:rsidRDefault="00000000">
      <w:pPr>
        <w:pStyle w:val="Heading2"/>
      </w:pPr>
      <w:proofErr w:type="gramStart"/>
      <w:r>
        <w:lastRenderedPageBreak/>
        <w:t>6.3  Project</w:t>
      </w:r>
      <w:proofErr w:type="gramEnd"/>
      <w:r>
        <w:t>-backed bonds and ring-fenced finance</w:t>
      </w:r>
    </w:p>
    <w:p w14:paraId="2CBE0263" w14:textId="77777777" w:rsidR="00CD4596" w:rsidRDefault="00000000">
      <w:pPr>
        <w:pStyle w:val="BodyText"/>
      </w:pPr>
      <w:r>
        <w:t xml:space="preserve">Project-backed bonds can connect long-term investors to ring-fenced infrastructure or operating cash flows. Their credibility depends on disclosure, predictable revenue or availability payments, construction protection, reserves, debt-service coverage, independent engineering, security arrangements and a clear allocation of political, demand, currency and completion risk. A bond label does not make a weak project strong, and issuance is not automatically anti-inflationary. </w:t>
      </w:r>
      <w:hyperlink r:id="rId60">
        <w:r w:rsidR="00CD4596">
          <w:rPr>
            <w:color w:val="075A2C"/>
            <w:sz w:val="15"/>
            <w:vertAlign w:val="superscript"/>
          </w:rPr>
          <w:t>[22]</w:t>
        </w:r>
      </w:hyperlink>
    </w:p>
    <w:p w14:paraId="5CDB1925" w14:textId="77777777" w:rsidR="00876059" w:rsidRDefault="00876059">
      <w:pPr>
        <w:pStyle w:val="BodyText"/>
      </w:pPr>
    </w:p>
    <w:p w14:paraId="106E69BB" w14:textId="5CD5628C" w:rsidR="00CD4596" w:rsidRDefault="00000000">
      <w:pPr>
        <w:pStyle w:val="Heading2"/>
      </w:pPr>
      <w:proofErr w:type="gramStart"/>
      <w:r>
        <w:t xml:space="preserve">6.4  </w:t>
      </w:r>
      <w:r w:rsidR="00903348" w:rsidRPr="00903348">
        <w:t>Sector</w:t>
      </w:r>
      <w:proofErr w:type="gramEnd"/>
      <w:r w:rsidR="00903348" w:rsidRPr="00903348">
        <w:t>-Specific Banking: From Venture Capital to Productive Banking</w:t>
      </w:r>
    </w:p>
    <w:p w14:paraId="0A0E214F" w14:textId="7200151E" w:rsidR="00903348" w:rsidRPr="00903348" w:rsidRDefault="00903348" w:rsidP="00903348">
      <w:r w:rsidRPr="00903348">
        <w:t>Sector-Specific Banking is a proposed pathway for financing capital-intensive and knowledge-intensive sectors</w:t>
      </w:r>
      <w:r>
        <w:t xml:space="preserve">, </w:t>
      </w:r>
      <w:r w:rsidRPr="00903348">
        <w:t>particularly industry, construction, and applied research</w:t>
      </w:r>
      <w:r>
        <w:t xml:space="preserve">, </w:t>
      </w:r>
      <w:r w:rsidRPr="00903348">
        <w:t>whose long development periods and specialized risks may not fit conventional short-term lending</w:t>
      </w:r>
      <w:r w:rsidR="007B3B14">
        <w:t xml:space="preserve"> which often carries interest that is stressful to new businesses and stalls or crushes their growth</w:t>
      </w:r>
      <w:r w:rsidRPr="00903348">
        <w:t>. Crucially, these institutions would not begin as banks. They would start as sector-specialist venture-capital firms</w:t>
      </w:r>
      <w:r w:rsidR="006F6C90">
        <w:t xml:space="preserve">, both private and state-owned </w:t>
      </w:r>
      <w:proofErr w:type="gramStart"/>
      <w:r w:rsidR="006F6C90">
        <w:t>similar to</w:t>
      </w:r>
      <w:proofErr w:type="gramEnd"/>
      <w:r w:rsidR="006F6C90">
        <w:t xml:space="preserve"> banks or public companies</w:t>
      </w:r>
      <w:r w:rsidRPr="00903348">
        <w:t>, The state would act as a cornerstone investor, while investment decisions remain with qualified, commercially accountable managers</w:t>
      </w:r>
      <w:r w:rsidR="006F6C90">
        <w:t xml:space="preserve"> and experts</w:t>
      </w:r>
      <w:r w:rsidRPr="00903348">
        <w:t>.</w:t>
      </w:r>
      <w:r w:rsidR="006F6C90">
        <w:t xml:space="preserve"> This company runs teams that oversee, audit, offer services, and invest </w:t>
      </w:r>
      <w:proofErr w:type="gramStart"/>
      <w:r w:rsidR="006F6C90">
        <w:t>into</w:t>
      </w:r>
      <w:proofErr w:type="gramEnd"/>
      <w:r w:rsidR="006F6C90">
        <w:t xml:space="preserve"> approved startups</w:t>
      </w:r>
      <w:r w:rsidR="00876059">
        <w:t xml:space="preserve"> and active businesses </w:t>
      </w:r>
      <w:proofErr w:type="gramStart"/>
      <w:r w:rsidR="00876059">
        <w:t>invested into</w:t>
      </w:r>
      <w:proofErr w:type="gramEnd"/>
      <w:r w:rsidR="006F6C90">
        <w:t xml:space="preserve"> in these sectors.</w:t>
      </w:r>
      <w:r w:rsidR="00A60BAC">
        <w:t xml:space="preserve"> Companies administer themselves but are required to undergo financial and operational audits to report progress and prevent fraud. </w:t>
      </w:r>
    </w:p>
    <w:p w14:paraId="5B207C4F" w14:textId="77777777" w:rsidR="00903348" w:rsidRPr="00903348" w:rsidRDefault="00903348" w:rsidP="00903348"/>
    <w:p w14:paraId="084DCDC7" w14:textId="4DD58DFD" w:rsidR="00903348" w:rsidRPr="00903348" w:rsidRDefault="00903348" w:rsidP="00903348">
      <w:r w:rsidRPr="00903348">
        <w:t xml:space="preserve">During the venture-capital stage, each institution would invest as a </w:t>
      </w:r>
      <w:proofErr w:type="gramStart"/>
      <w:r w:rsidRPr="00903348">
        <w:t>minority limited</w:t>
      </w:r>
      <w:proofErr w:type="gramEnd"/>
      <w:r w:rsidRPr="00903348">
        <w:t xml:space="preserve"> partner in selected startups and expanding businesses. Its contribution could be provided through cash or productive assets such as machinery, industrial land, buildings, vehicles, laboratories, and equipment. The entrepreneur would retain operational control, while the venture-capital firm would receive appropriate audit, information, and governance rights. Returns would come from dividends, profit participation, and a structured exit</w:t>
      </w:r>
      <w:r w:rsidR="00383CD9">
        <w:t xml:space="preserve">, </w:t>
      </w:r>
      <w:r w:rsidRPr="00903348">
        <w:t>including the founder’s ability to repurchase the institution’s stake under predetermined terms.</w:t>
      </w:r>
    </w:p>
    <w:p w14:paraId="2BDBEE10" w14:textId="77777777" w:rsidR="00903348" w:rsidRPr="00903348" w:rsidRDefault="00903348" w:rsidP="00903348"/>
    <w:p w14:paraId="2F489A14" w14:textId="77777777" w:rsidR="00903348" w:rsidRPr="00903348" w:rsidRDefault="00903348" w:rsidP="00903348">
      <w:r w:rsidRPr="00903348">
        <w:t>This structure aligns the financier’s return with the success of the business. Because each venture-capital firm specializes in a defined sector, it can develop the technical knowledge needed to assess projects, supervise the use of capital, and support portfolio companies. Its performance-based incentives and professional investment controls may also produce stronger due diligence and auditing than direct government administration of commercial projects.</w:t>
      </w:r>
    </w:p>
    <w:p w14:paraId="0F4BC8EF" w14:textId="77777777" w:rsidR="00903348" w:rsidRPr="00903348" w:rsidRDefault="00903348" w:rsidP="00903348"/>
    <w:p w14:paraId="6968403B" w14:textId="77777777" w:rsidR="00903348" w:rsidRPr="00903348" w:rsidRDefault="00903348" w:rsidP="00903348">
      <w:r w:rsidRPr="00903348">
        <w:t xml:space="preserve">Only after establishing a successful investment record, sufficient capital, a diversified portfolio, qualified governance, and mature risk-management systems could the venture-capital firm apply for a sector-specific banking </w:t>
      </w:r>
      <w:proofErr w:type="spellStart"/>
      <w:r w:rsidRPr="00903348">
        <w:t>licence</w:t>
      </w:r>
      <w:proofErr w:type="spellEnd"/>
      <w:r w:rsidRPr="00903348">
        <w:t xml:space="preserve">. Approval would not be automatic. Once licensed, it could introduce </w:t>
      </w:r>
      <w:r w:rsidRPr="00903348">
        <w:lastRenderedPageBreak/>
        <w:t>regulated banking services and mobilize patient savings while remaining focused on its designated productive sector and retaining an equity- and asset-based financing model. The pathway is therefore from specialized venture capital to a regulated productive bank—not directly from a government fund into a deposit-taking institution.</w:t>
      </w:r>
    </w:p>
    <w:p w14:paraId="5F74F53E" w14:textId="77777777" w:rsidR="00903348" w:rsidRPr="00903348" w:rsidRDefault="00903348" w:rsidP="00903348"/>
    <w:p w14:paraId="63733CB6" w14:textId="77777777" w:rsidR="00903348" w:rsidRDefault="00903348" w:rsidP="00903348">
      <w:pPr>
        <w:rPr>
          <w:b/>
          <w:bCs/>
        </w:rPr>
      </w:pPr>
      <w:r w:rsidRPr="00903348">
        <w:t>For policymakers, the model converts a limited portion of public expenditure into a revolving portfolio of productive domestic assets rather than one-time spending. For investors, it provides professionally managed access to long-term productive sectors, supported by tangible assets and potential returns from dividends and exits. Successful institutions could reinvest their earnings, attract additional private capital, generate employment and exports, expand Egypt’s productive capabilities, and create future tax revenues—eventually becoming self-sustaining financial institutions. This evolution would require independent governance, transparent project selection, professional valuation and auditing, capital and liquidity requirements, concentration limits, conflict-of-interest controls, and full compliance with Egyptian financial regulation.</w:t>
      </w:r>
    </w:p>
    <w:p w14:paraId="6D3F2199" w14:textId="5494970A" w:rsidR="00CD4596" w:rsidRDefault="00000000" w:rsidP="00903348">
      <w:pPr>
        <w:pStyle w:val="Heading2"/>
      </w:pPr>
      <w:proofErr w:type="gramStart"/>
      <w:r>
        <w:t>6.5  National</w:t>
      </w:r>
      <w:proofErr w:type="gramEnd"/>
      <w:r>
        <w:t xml:space="preserve"> B2B and export commerce platform</w:t>
      </w:r>
    </w:p>
    <w:p w14:paraId="29F8C911" w14:textId="1BFF9BFE" w:rsidR="00CD4596" w:rsidRDefault="00000000">
      <w:pPr>
        <w:pStyle w:val="BodyText"/>
      </w:pPr>
      <w:r>
        <w:t xml:space="preserve">A national B2B platform can reduce the cost of discovering verified Egyptian suppliers through standardized catalogues, verification, quotations, certificates, trade-finance links, export documents, logistics and performance histories. </w:t>
      </w:r>
      <w:r w:rsidR="002824C0">
        <w:t xml:space="preserve">This concept suggests that a nation like Egypt could have a massive boost in exports and domestic sales of Egyptian businesses through a B2B Commerce platform </w:t>
      </w:r>
      <w:proofErr w:type="gramStart"/>
      <w:r w:rsidR="002824C0">
        <w:t>similar to</w:t>
      </w:r>
      <w:proofErr w:type="gramEnd"/>
      <w:r w:rsidR="002824C0">
        <w:t xml:space="preserve"> </w:t>
      </w:r>
      <w:r w:rsidR="001E3DB5">
        <w:t>Alibaba</w:t>
      </w:r>
      <w:r w:rsidR="007062EA">
        <w:t xml:space="preserve"> but requires registering companies to be legally registered</w:t>
      </w:r>
      <w:r w:rsidR="00320C30">
        <w:t xml:space="preserve"> who are incentivized through economic benefits or services</w:t>
      </w:r>
      <w:r w:rsidR="002824C0">
        <w:t xml:space="preserve">. </w:t>
      </w:r>
      <w:r w:rsidR="007062EA">
        <w:t xml:space="preserve">This would massively improve access and visibility of Egyptian goods. Even a 5% increase in Egyptian exports or sales can massively improve the economy. </w:t>
      </w:r>
      <w:r>
        <w:t>Governance must protect commercial data, competition and cybersecurity. The platform should interoperate with private marketplaces rather than replace them.</w:t>
      </w:r>
    </w:p>
    <w:p w14:paraId="48466CF6" w14:textId="77777777" w:rsidR="00CD4596" w:rsidRDefault="00000000">
      <w:pPr>
        <w:pStyle w:val="Heading2"/>
      </w:pPr>
      <w:proofErr w:type="gramStart"/>
      <w:r>
        <w:t>6.6  Eco</w:t>
      </w:r>
      <w:proofErr w:type="gramEnd"/>
      <w:r>
        <w:t>-industrialization</w:t>
      </w:r>
    </w:p>
    <w:p w14:paraId="50CF06C3" w14:textId="77777777" w:rsidR="00CD4596" w:rsidRDefault="00000000">
      <w:pPr>
        <w:pStyle w:val="BodyText"/>
      </w:pPr>
      <w:r>
        <w:t xml:space="preserve">Eco-industrialization applies resource efficiency, cleaner production and industrial symbiosis: one firm’s safe by-product, heat, water or service may become another firm’s input. International eco-industrial-park frameworks combine park management with environmental, social and economic performance. Each proposed exchange requires engineering feasibility, stable quantity and quality, contamination controls, lifecycle analysis and an accountable operator. Waste should never be relabeled as a resource to avoid proper treatment. </w:t>
      </w:r>
      <w:hyperlink r:id="rId61">
        <w:r w:rsidR="00CD4596">
          <w:rPr>
            <w:color w:val="075A2C"/>
            <w:sz w:val="15"/>
            <w:vertAlign w:val="superscript"/>
          </w:rPr>
          <w:t>[20]</w:t>
        </w:r>
      </w:hyperlink>
    </w:p>
    <w:p w14:paraId="3143482C" w14:textId="77777777" w:rsidR="00CD4596" w:rsidRDefault="00000000">
      <w:pPr>
        <w:pStyle w:val="BodyText"/>
      </w:pPr>
      <w:r>
        <w:rPr>
          <w:b/>
        </w:rPr>
        <w:t>Productive healthcare.</w:t>
      </w:r>
      <w:r>
        <w:t xml:space="preserve"> Hospital-linked clinical engineering and approved manufacturing can build capability, while care, ethics, biosafety, data protection and quality remain primary.</w:t>
      </w:r>
    </w:p>
    <w:p w14:paraId="7D3497F2" w14:textId="77777777" w:rsidR="00CD4596" w:rsidRDefault="00000000">
      <w:pPr>
        <w:pStyle w:val="Heading1"/>
        <w:pageBreakBefore/>
        <w:pBdr>
          <w:bottom w:val="single" w:sz="6" w:space="6" w:color="CFE5D7"/>
        </w:pBdr>
      </w:pPr>
      <w:proofErr w:type="gramStart"/>
      <w:r>
        <w:rPr>
          <w:color w:val="2F7D52"/>
        </w:rPr>
        <w:lastRenderedPageBreak/>
        <w:t xml:space="preserve">07  </w:t>
      </w:r>
      <w:r>
        <w:t>Applying</w:t>
      </w:r>
      <w:proofErr w:type="gramEnd"/>
      <w:r>
        <w:t xml:space="preserve"> the framework to the New Delta</w:t>
      </w:r>
    </w:p>
    <w:p w14:paraId="65B6288E" w14:textId="77777777" w:rsidR="00CD4596" w:rsidRDefault="00000000">
      <w:pPr>
        <w:pStyle w:val="ChapterSubtitle"/>
      </w:pPr>
      <w:r>
        <w:t>The New Delta should be treated as a portfolio of productive systems and settlements, developed in evidence-led phases.</w:t>
      </w:r>
    </w:p>
    <w:p w14:paraId="183EC35A" w14:textId="77777777" w:rsidR="00CD4596" w:rsidRDefault="00000000">
      <w:pPr>
        <w:pStyle w:val="BodyText"/>
      </w:pPr>
      <w:r>
        <w:t xml:space="preserve">Youth’s founding question is geographic and practical: how can a productive society be created in the New Delta and elsewhere in Egypt? Commercial Economics does not answer by selecting a single industry in advance. It begins with water, land, climate, energy, logistics, people, institutions and demand, then selects portfolios that fit those constraints. This aligns with Egypt Vision 2030’s emphasis on sustainable, balanced development while adding a project-level production and stewardship method. </w:t>
      </w:r>
      <w:hyperlink r:id="rId62">
        <w:r w:rsidR="00CD4596">
          <w:rPr>
            <w:color w:val="075A2C"/>
            <w:sz w:val="15"/>
            <w:vertAlign w:val="superscript"/>
          </w:rPr>
          <w:t>[23]</w:t>
        </w:r>
      </w:hyperlink>
    </w:p>
    <w:p w14:paraId="3AD91F86" w14:textId="77777777" w:rsidR="00CD4596" w:rsidRDefault="00000000">
      <w:pPr>
        <w:pStyle w:val="Heading2"/>
      </w:pPr>
      <w:proofErr w:type="gramStart"/>
      <w:r>
        <w:t>7.1  Proposed</w:t>
      </w:r>
      <w:proofErr w:type="gramEnd"/>
      <w:r>
        <w:t xml:space="preserve"> development sequence</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1750"/>
        <w:gridCol w:w="4700"/>
        <w:gridCol w:w="2910"/>
      </w:tblGrid>
      <w:tr w:rsidR="00CD4596" w14:paraId="0317489F" w14:textId="77777777">
        <w:trPr>
          <w:tblHeader/>
          <w:jc w:val="center"/>
        </w:trPr>
        <w:tc>
          <w:tcPr>
            <w:tcW w:w="1750" w:type="dxa"/>
            <w:shd w:val="clear" w:color="auto" w:fill="075A2C"/>
            <w:tcMar>
              <w:top w:w="90" w:type="dxa"/>
              <w:left w:w="100" w:type="dxa"/>
              <w:bottom w:w="90" w:type="dxa"/>
              <w:right w:w="100" w:type="dxa"/>
            </w:tcMar>
            <w:vAlign w:val="center"/>
          </w:tcPr>
          <w:p w14:paraId="369B2AA0" w14:textId="77777777" w:rsidR="00CD4596" w:rsidRDefault="00000000">
            <w:r>
              <w:rPr>
                <w:b/>
                <w:color w:val="FFFFFF"/>
                <w:sz w:val="17"/>
              </w:rPr>
              <w:t>Phase</w:t>
            </w:r>
          </w:p>
        </w:tc>
        <w:tc>
          <w:tcPr>
            <w:tcW w:w="4700" w:type="dxa"/>
            <w:shd w:val="clear" w:color="auto" w:fill="075A2C"/>
            <w:tcMar>
              <w:top w:w="90" w:type="dxa"/>
              <w:left w:w="100" w:type="dxa"/>
              <w:bottom w:w="90" w:type="dxa"/>
              <w:right w:w="100" w:type="dxa"/>
            </w:tcMar>
            <w:vAlign w:val="center"/>
          </w:tcPr>
          <w:p w14:paraId="79BF18E2" w14:textId="77777777" w:rsidR="00CD4596" w:rsidRDefault="00000000">
            <w:r>
              <w:rPr>
                <w:b/>
                <w:color w:val="FFFFFF"/>
                <w:sz w:val="17"/>
              </w:rPr>
              <w:t>Work program</w:t>
            </w:r>
          </w:p>
        </w:tc>
        <w:tc>
          <w:tcPr>
            <w:tcW w:w="2910" w:type="dxa"/>
            <w:shd w:val="clear" w:color="auto" w:fill="075A2C"/>
            <w:tcMar>
              <w:top w:w="90" w:type="dxa"/>
              <w:left w:w="100" w:type="dxa"/>
              <w:bottom w:w="90" w:type="dxa"/>
              <w:right w:w="100" w:type="dxa"/>
            </w:tcMar>
            <w:vAlign w:val="center"/>
          </w:tcPr>
          <w:p w14:paraId="332A915C" w14:textId="77777777" w:rsidR="00CD4596" w:rsidRDefault="00000000">
            <w:r>
              <w:rPr>
                <w:b/>
                <w:color w:val="FFFFFF"/>
                <w:sz w:val="17"/>
              </w:rPr>
              <w:t>Evidence before proceeding</w:t>
            </w:r>
          </w:p>
        </w:tc>
      </w:tr>
      <w:tr w:rsidR="00CD4596" w14:paraId="58E4730E" w14:textId="77777777">
        <w:trPr>
          <w:cantSplit/>
          <w:jc w:val="center"/>
        </w:trPr>
        <w:tc>
          <w:tcPr>
            <w:tcW w:w="1750" w:type="dxa"/>
          </w:tcPr>
          <w:p w14:paraId="2F49B934" w14:textId="77777777" w:rsidR="00CD4596" w:rsidRDefault="00000000">
            <w:pPr>
              <w:pStyle w:val="TableText"/>
            </w:pPr>
            <w:proofErr w:type="gramStart"/>
            <w:r>
              <w:rPr>
                <w:b/>
                <w:color w:val="075A2C"/>
              </w:rPr>
              <w:t>0  Mandate</w:t>
            </w:r>
            <w:proofErr w:type="gramEnd"/>
            <w:r>
              <w:rPr>
                <w:b/>
                <w:color w:val="075A2C"/>
              </w:rPr>
              <w:t xml:space="preserve"> and governance</w:t>
            </w:r>
          </w:p>
        </w:tc>
        <w:tc>
          <w:tcPr>
            <w:tcW w:w="4700" w:type="dxa"/>
          </w:tcPr>
          <w:p w14:paraId="3A52D7A2" w14:textId="77777777" w:rsidR="00CD4596" w:rsidRDefault="00000000">
            <w:pPr>
              <w:pStyle w:val="TableText"/>
            </w:pPr>
            <w:r>
              <w:t>Define geography, authority, public objectives, rights, data, safeguards and decision bodies.</w:t>
            </w:r>
          </w:p>
        </w:tc>
        <w:tc>
          <w:tcPr>
            <w:tcW w:w="2910" w:type="dxa"/>
          </w:tcPr>
          <w:p w14:paraId="1727473B" w14:textId="77777777" w:rsidR="00CD4596" w:rsidRDefault="00000000">
            <w:pPr>
              <w:pStyle w:val="TableText"/>
            </w:pPr>
            <w:r>
              <w:t>Legal mandate; stakeholder map; conflicts and transparency rules.</w:t>
            </w:r>
          </w:p>
        </w:tc>
      </w:tr>
      <w:tr w:rsidR="00CD4596" w14:paraId="2D567389" w14:textId="77777777">
        <w:trPr>
          <w:cantSplit/>
          <w:jc w:val="center"/>
        </w:trPr>
        <w:tc>
          <w:tcPr>
            <w:tcW w:w="1750" w:type="dxa"/>
            <w:shd w:val="clear" w:color="auto" w:fill="F3F5F4"/>
          </w:tcPr>
          <w:p w14:paraId="4F1ECB02" w14:textId="77777777" w:rsidR="00CD4596" w:rsidRDefault="00000000">
            <w:pPr>
              <w:pStyle w:val="TableText"/>
            </w:pPr>
            <w:proofErr w:type="gramStart"/>
            <w:r>
              <w:rPr>
                <w:b/>
                <w:color w:val="075A2C"/>
              </w:rPr>
              <w:t>1  Territorial</w:t>
            </w:r>
            <w:proofErr w:type="gramEnd"/>
            <w:r>
              <w:rPr>
                <w:b/>
                <w:color w:val="075A2C"/>
              </w:rPr>
              <w:t xml:space="preserve"> diagnosis</w:t>
            </w:r>
          </w:p>
        </w:tc>
        <w:tc>
          <w:tcPr>
            <w:tcW w:w="4700" w:type="dxa"/>
            <w:shd w:val="clear" w:color="auto" w:fill="F3F5F4"/>
          </w:tcPr>
          <w:p w14:paraId="6B5EED48" w14:textId="77777777" w:rsidR="00CD4596" w:rsidRDefault="00000000">
            <w:pPr>
              <w:pStyle w:val="TableText"/>
            </w:pPr>
            <w:r>
              <w:t xml:space="preserve">Water balance, </w:t>
            </w:r>
            <w:proofErr w:type="gramStart"/>
            <w:r>
              <w:t>soils</w:t>
            </w:r>
            <w:proofErr w:type="gramEnd"/>
            <w:r>
              <w:t>, ecology, climate risk, energy, transport, settlements, labor and markets.</w:t>
            </w:r>
          </w:p>
        </w:tc>
        <w:tc>
          <w:tcPr>
            <w:tcW w:w="2910" w:type="dxa"/>
            <w:shd w:val="clear" w:color="auto" w:fill="F3F5F4"/>
          </w:tcPr>
          <w:p w14:paraId="33C1D007" w14:textId="77777777" w:rsidR="00CD4596" w:rsidRDefault="00000000">
            <w:pPr>
              <w:pStyle w:val="TableText"/>
            </w:pPr>
            <w:r>
              <w:t>Independent baseline; binding-constraint register; no-go areas.</w:t>
            </w:r>
          </w:p>
        </w:tc>
      </w:tr>
      <w:tr w:rsidR="00CD4596" w14:paraId="1EEC6AB0" w14:textId="77777777">
        <w:trPr>
          <w:cantSplit/>
          <w:jc w:val="center"/>
        </w:trPr>
        <w:tc>
          <w:tcPr>
            <w:tcW w:w="1750" w:type="dxa"/>
          </w:tcPr>
          <w:p w14:paraId="689B2430" w14:textId="77777777" w:rsidR="00CD4596" w:rsidRDefault="00000000">
            <w:pPr>
              <w:pStyle w:val="TableText"/>
            </w:pPr>
            <w:proofErr w:type="gramStart"/>
            <w:r>
              <w:rPr>
                <w:b/>
                <w:color w:val="075A2C"/>
              </w:rPr>
              <w:t>2  Chain</w:t>
            </w:r>
            <w:proofErr w:type="gramEnd"/>
            <w:r>
              <w:rPr>
                <w:b/>
                <w:color w:val="075A2C"/>
              </w:rPr>
              <w:t xml:space="preserve"> selection</w:t>
            </w:r>
          </w:p>
        </w:tc>
        <w:tc>
          <w:tcPr>
            <w:tcW w:w="4700" w:type="dxa"/>
          </w:tcPr>
          <w:p w14:paraId="22C821FA" w14:textId="77777777" w:rsidR="00CD4596" w:rsidRDefault="00000000">
            <w:pPr>
              <w:pStyle w:val="TableText"/>
            </w:pPr>
            <w:r>
              <w:t>Screen agriculture, food, materials, logistics, construction, services and technology opportunities.</w:t>
            </w:r>
          </w:p>
        </w:tc>
        <w:tc>
          <w:tcPr>
            <w:tcW w:w="2910" w:type="dxa"/>
          </w:tcPr>
          <w:p w14:paraId="72CC33CE" w14:textId="77777777" w:rsidR="00CD4596" w:rsidRDefault="00000000">
            <w:pPr>
              <w:pStyle w:val="TableText"/>
            </w:pPr>
            <w:r>
              <w:t>Demand evidence; comparative capability; FX and resource analysis.</w:t>
            </w:r>
          </w:p>
        </w:tc>
      </w:tr>
      <w:tr w:rsidR="00CD4596" w14:paraId="50E21BF1" w14:textId="77777777">
        <w:trPr>
          <w:cantSplit/>
          <w:jc w:val="center"/>
        </w:trPr>
        <w:tc>
          <w:tcPr>
            <w:tcW w:w="1750" w:type="dxa"/>
            <w:shd w:val="clear" w:color="auto" w:fill="F3F5F4"/>
          </w:tcPr>
          <w:p w14:paraId="6EC5975C" w14:textId="77777777" w:rsidR="00CD4596" w:rsidRDefault="00000000">
            <w:pPr>
              <w:pStyle w:val="TableText"/>
            </w:pPr>
            <w:proofErr w:type="gramStart"/>
            <w:r>
              <w:rPr>
                <w:b/>
                <w:color w:val="075A2C"/>
              </w:rPr>
              <w:t>3  Anchor</w:t>
            </w:r>
            <w:proofErr w:type="gramEnd"/>
            <w:r>
              <w:rPr>
                <w:b/>
                <w:color w:val="075A2C"/>
              </w:rPr>
              <w:t xml:space="preserve"> pilots</w:t>
            </w:r>
          </w:p>
        </w:tc>
        <w:tc>
          <w:tcPr>
            <w:tcW w:w="4700" w:type="dxa"/>
            <w:shd w:val="clear" w:color="auto" w:fill="F3F5F4"/>
          </w:tcPr>
          <w:p w14:paraId="2D4C91D2" w14:textId="77777777" w:rsidR="00CD4596" w:rsidRDefault="00000000">
            <w:pPr>
              <w:pStyle w:val="TableText"/>
            </w:pPr>
            <w:r>
              <w:t>Launch a limited number of commercially distinct pilots plus enabling services.</w:t>
            </w:r>
          </w:p>
        </w:tc>
        <w:tc>
          <w:tcPr>
            <w:tcW w:w="2910" w:type="dxa"/>
            <w:shd w:val="clear" w:color="auto" w:fill="F3F5F4"/>
          </w:tcPr>
          <w:p w14:paraId="6D82E041" w14:textId="77777777" w:rsidR="00CD4596" w:rsidRDefault="00000000">
            <w:pPr>
              <w:pStyle w:val="TableText"/>
            </w:pPr>
            <w:r>
              <w:t>Committed operators/</w:t>
            </w:r>
            <w:proofErr w:type="spellStart"/>
            <w:r>
              <w:t>offtakers</w:t>
            </w:r>
            <w:proofErr w:type="spellEnd"/>
            <w:r>
              <w:t>; full feasibility; financing and permits.</w:t>
            </w:r>
          </w:p>
        </w:tc>
      </w:tr>
      <w:tr w:rsidR="00CD4596" w14:paraId="3E715582" w14:textId="77777777">
        <w:trPr>
          <w:cantSplit/>
          <w:jc w:val="center"/>
        </w:trPr>
        <w:tc>
          <w:tcPr>
            <w:tcW w:w="1750" w:type="dxa"/>
          </w:tcPr>
          <w:p w14:paraId="0D56CFFC" w14:textId="77777777" w:rsidR="00CD4596" w:rsidRDefault="00000000">
            <w:pPr>
              <w:pStyle w:val="TableText"/>
            </w:pPr>
            <w:proofErr w:type="gramStart"/>
            <w:r>
              <w:rPr>
                <w:b/>
                <w:color w:val="075A2C"/>
              </w:rPr>
              <w:t>4  Productive</w:t>
            </w:r>
            <w:proofErr w:type="gramEnd"/>
            <w:r>
              <w:rPr>
                <w:b/>
                <w:color w:val="075A2C"/>
              </w:rPr>
              <w:t xml:space="preserve"> town </w:t>
            </w:r>
            <w:proofErr w:type="gramStart"/>
            <w:r>
              <w:rPr>
                <w:b/>
                <w:color w:val="075A2C"/>
              </w:rPr>
              <w:t>module</w:t>
            </w:r>
            <w:proofErr w:type="gramEnd"/>
          </w:p>
        </w:tc>
        <w:tc>
          <w:tcPr>
            <w:tcW w:w="4700" w:type="dxa"/>
          </w:tcPr>
          <w:p w14:paraId="5675AB72" w14:textId="77777777" w:rsidR="00CD4596" w:rsidRDefault="00000000">
            <w:pPr>
              <w:pStyle w:val="TableText"/>
            </w:pPr>
            <w:r>
              <w:t>Phase housing, services, supplier spaces and utilities around proven employment.</w:t>
            </w:r>
          </w:p>
        </w:tc>
        <w:tc>
          <w:tcPr>
            <w:tcW w:w="2910" w:type="dxa"/>
          </w:tcPr>
          <w:p w14:paraId="7B3F1764" w14:textId="77777777" w:rsidR="00CD4596" w:rsidRDefault="00000000">
            <w:pPr>
              <w:pStyle w:val="TableText"/>
            </w:pPr>
            <w:r>
              <w:t>Occupancy thresholds; service operator plans; maintenance funding.</w:t>
            </w:r>
          </w:p>
        </w:tc>
      </w:tr>
      <w:tr w:rsidR="00CD4596" w14:paraId="771DC5C3" w14:textId="77777777">
        <w:trPr>
          <w:cantSplit/>
          <w:jc w:val="center"/>
        </w:trPr>
        <w:tc>
          <w:tcPr>
            <w:tcW w:w="1750" w:type="dxa"/>
            <w:shd w:val="clear" w:color="auto" w:fill="F3F5F4"/>
          </w:tcPr>
          <w:p w14:paraId="1CEA3193" w14:textId="77777777" w:rsidR="00CD4596" w:rsidRDefault="00000000">
            <w:pPr>
              <w:pStyle w:val="TableText"/>
            </w:pPr>
            <w:proofErr w:type="gramStart"/>
            <w:r>
              <w:rPr>
                <w:b/>
                <w:color w:val="075A2C"/>
              </w:rPr>
              <w:t>5  Supplier</w:t>
            </w:r>
            <w:proofErr w:type="gramEnd"/>
            <w:r>
              <w:rPr>
                <w:b/>
                <w:color w:val="075A2C"/>
              </w:rPr>
              <w:t xml:space="preserve"> and R&amp;D depth</w:t>
            </w:r>
          </w:p>
        </w:tc>
        <w:tc>
          <w:tcPr>
            <w:tcW w:w="4700" w:type="dxa"/>
            <w:shd w:val="clear" w:color="auto" w:fill="F3F5F4"/>
          </w:tcPr>
          <w:p w14:paraId="5F7C839B" w14:textId="77777777" w:rsidR="00CD4596" w:rsidRDefault="00000000">
            <w:pPr>
              <w:pStyle w:val="TableText"/>
            </w:pPr>
            <w:r>
              <w:t>Develop components, testing, training, digital commerce and applied research partnerships.</w:t>
            </w:r>
          </w:p>
        </w:tc>
        <w:tc>
          <w:tcPr>
            <w:tcW w:w="2910" w:type="dxa"/>
            <w:shd w:val="clear" w:color="auto" w:fill="F3F5F4"/>
          </w:tcPr>
          <w:p w14:paraId="46D1BBC8" w14:textId="77777777" w:rsidR="00CD4596" w:rsidRDefault="00000000">
            <w:pPr>
              <w:pStyle w:val="TableText"/>
            </w:pPr>
            <w:r>
              <w:t>Measured local capability and productivity gains.</w:t>
            </w:r>
          </w:p>
        </w:tc>
      </w:tr>
      <w:tr w:rsidR="00CD4596" w14:paraId="17EFBE4F" w14:textId="77777777">
        <w:trPr>
          <w:cantSplit/>
          <w:jc w:val="center"/>
        </w:trPr>
        <w:tc>
          <w:tcPr>
            <w:tcW w:w="1750" w:type="dxa"/>
          </w:tcPr>
          <w:p w14:paraId="4C38CF70" w14:textId="77777777" w:rsidR="00CD4596" w:rsidRDefault="00000000">
            <w:pPr>
              <w:pStyle w:val="TableText"/>
            </w:pPr>
            <w:proofErr w:type="gramStart"/>
            <w:r>
              <w:rPr>
                <w:b/>
                <w:color w:val="075A2C"/>
              </w:rPr>
              <w:t>6  Replication</w:t>
            </w:r>
            <w:proofErr w:type="gramEnd"/>
          </w:p>
        </w:tc>
        <w:tc>
          <w:tcPr>
            <w:tcW w:w="4700" w:type="dxa"/>
          </w:tcPr>
          <w:p w14:paraId="3A7AD06F" w14:textId="77777777" w:rsidR="00CD4596" w:rsidRDefault="00000000">
            <w:pPr>
              <w:pStyle w:val="TableText"/>
            </w:pPr>
            <w:r>
              <w:t xml:space="preserve">Scale modules that meet commercial, social and environmental thresholds; </w:t>
            </w:r>
            <w:proofErr w:type="gramStart"/>
            <w:r>
              <w:t>retire</w:t>
            </w:r>
            <w:proofErr w:type="gramEnd"/>
            <w:r>
              <w:t xml:space="preserve"> weak designs.</w:t>
            </w:r>
          </w:p>
        </w:tc>
        <w:tc>
          <w:tcPr>
            <w:tcW w:w="2910" w:type="dxa"/>
          </w:tcPr>
          <w:p w14:paraId="149AF683" w14:textId="77777777" w:rsidR="00CD4596" w:rsidRDefault="00000000">
            <w:pPr>
              <w:pStyle w:val="TableText"/>
            </w:pPr>
            <w:r>
              <w:t>Independent evaluation and published lessons.</w:t>
            </w:r>
          </w:p>
        </w:tc>
      </w:tr>
    </w:tbl>
    <w:p w14:paraId="63649172" w14:textId="77777777" w:rsidR="00CD4596" w:rsidRDefault="00000000">
      <w:pPr>
        <w:pStyle w:val="Heading2"/>
      </w:pPr>
      <w:proofErr w:type="gramStart"/>
      <w:r>
        <w:t>7.2  Candidate</w:t>
      </w:r>
      <w:proofErr w:type="gramEnd"/>
      <w:r>
        <w:t xml:space="preserve"> portfolio families—not predetermined projects</w:t>
      </w:r>
    </w:p>
    <w:p w14:paraId="242CBDD3" w14:textId="77777777" w:rsidR="00CD4596" w:rsidRDefault="00000000">
      <w:pPr>
        <w:pStyle w:val="BodyText"/>
      </w:pPr>
      <w:r>
        <w:t>The following families illustrate how the framework would organize research. They are not recommendations to invest before water, market, environmental and financial feasibility is completed.</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700"/>
        <w:gridCol w:w="6660"/>
      </w:tblGrid>
      <w:tr w:rsidR="00CD4596" w14:paraId="003E6BB7" w14:textId="77777777">
        <w:trPr>
          <w:tblHeader/>
          <w:jc w:val="center"/>
        </w:trPr>
        <w:tc>
          <w:tcPr>
            <w:tcW w:w="2700" w:type="dxa"/>
            <w:shd w:val="clear" w:color="auto" w:fill="075A2C"/>
            <w:tcMar>
              <w:top w:w="90" w:type="dxa"/>
              <w:left w:w="100" w:type="dxa"/>
              <w:bottom w:w="90" w:type="dxa"/>
              <w:right w:w="100" w:type="dxa"/>
            </w:tcMar>
            <w:vAlign w:val="center"/>
          </w:tcPr>
          <w:p w14:paraId="637B0158" w14:textId="77777777" w:rsidR="00CD4596" w:rsidRDefault="00000000">
            <w:r>
              <w:rPr>
                <w:b/>
                <w:color w:val="FFFFFF"/>
                <w:sz w:val="18"/>
              </w:rPr>
              <w:t>Portfolio family</w:t>
            </w:r>
          </w:p>
        </w:tc>
        <w:tc>
          <w:tcPr>
            <w:tcW w:w="6660" w:type="dxa"/>
            <w:shd w:val="clear" w:color="auto" w:fill="075A2C"/>
            <w:tcMar>
              <w:top w:w="90" w:type="dxa"/>
              <w:left w:w="100" w:type="dxa"/>
              <w:bottom w:w="90" w:type="dxa"/>
              <w:right w:w="100" w:type="dxa"/>
            </w:tcMar>
            <w:vAlign w:val="center"/>
          </w:tcPr>
          <w:p w14:paraId="00EF87EE" w14:textId="77777777" w:rsidR="00CD4596" w:rsidRDefault="00000000">
            <w:r>
              <w:rPr>
                <w:b/>
                <w:color w:val="FFFFFF"/>
                <w:sz w:val="18"/>
              </w:rPr>
              <w:t>Illustrative chain logic</w:t>
            </w:r>
          </w:p>
        </w:tc>
      </w:tr>
      <w:tr w:rsidR="00CD4596" w14:paraId="52F187E5" w14:textId="77777777">
        <w:trPr>
          <w:cantSplit/>
          <w:jc w:val="center"/>
        </w:trPr>
        <w:tc>
          <w:tcPr>
            <w:tcW w:w="2700" w:type="dxa"/>
          </w:tcPr>
          <w:p w14:paraId="75B6EC13" w14:textId="77777777" w:rsidR="00CD4596" w:rsidRDefault="00000000">
            <w:pPr>
              <w:pStyle w:val="TableText"/>
            </w:pPr>
            <w:r>
              <w:rPr>
                <w:b/>
                <w:color w:val="075A2C"/>
              </w:rPr>
              <w:t>Water-smart agriculture and food</w:t>
            </w:r>
          </w:p>
        </w:tc>
        <w:tc>
          <w:tcPr>
            <w:tcW w:w="6660" w:type="dxa"/>
          </w:tcPr>
          <w:p w14:paraId="058B7AC5" w14:textId="77777777" w:rsidR="00CD4596" w:rsidRDefault="00000000">
            <w:pPr>
              <w:pStyle w:val="TableText"/>
            </w:pPr>
            <w:r>
              <w:t>High-value or strategic crops, seed systems, controlled environments where justified, storage, processing, cold chains and by-product use.</w:t>
            </w:r>
          </w:p>
        </w:tc>
      </w:tr>
      <w:tr w:rsidR="00CD4596" w14:paraId="3D11624D" w14:textId="77777777">
        <w:trPr>
          <w:cantSplit/>
          <w:jc w:val="center"/>
        </w:trPr>
        <w:tc>
          <w:tcPr>
            <w:tcW w:w="2700" w:type="dxa"/>
            <w:shd w:val="clear" w:color="auto" w:fill="F3F5F4"/>
          </w:tcPr>
          <w:p w14:paraId="16F73C1A" w14:textId="77777777" w:rsidR="00CD4596" w:rsidRDefault="00000000">
            <w:pPr>
              <w:pStyle w:val="TableText"/>
            </w:pPr>
            <w:r>
              <w:rPr>
                <w:b/>
                <w:color w:val="075A2C"/>
              </w:rPr>
              <w:t>Construction and materials</w:t>
            </w:r>
          </w:p>
        </w:tc>
        <w:tc>
          <w:tcPr>
            <w:tcW w:w="6660" w:type="dxa"/>
            <w:shd w:val="clear" w:color="auto" w:fill="F3F5F4"/>
          </w:tcPr>
          <w:p w14:paraId="25C9781B" w14:textId="77777777" w:rsidR="00CD4596" w:rsidRDefault="00000000">
            <w:pPr>
              <w:pStyle w:val="TableText"/>
            </w:pPr>
            <w:r>
              <w:t>Modular and efficient building systems, repair, local inputs, testing laboratories, maintenance and recycling—subject to lifecycle and demand analysis.</w:t>
            </w:r>
          </w:p>
        </w:tc>
      </w:tr>
      <w:tr w:rsidR="00CD4596" w14:paraId="55B205D5" w14:textId="77777777">
        <w:trPr>
          <w:cantSplit/>
          <w:jc w:val="center"/>
        </w:trPr>
        <w:tc>
          <w:tcPr>
            <w:tcW w:w="2700" w:type="dxa"/>
          </w:tcPr>
          <w:p w14:paraId="5EF4EA2E" w14:textId="77777777" w:rsidR="00CD4596" w:rsidRDefault="00000000">
            <w:pPr>
              <w:pStyle w:val="TableText"/>
            </w:pPr>
            <w:r>
              <w:rPr>
                <w:b/>
                <w:color w:val="075A2C"/>
              </w:rPr>
              <w:t>Agricultural and industrial equipment</w:t>
            </w:r>
          </w:p>
        </w:tc>
        <w:tc>
          <w:tcPr>
            <w:tcW w:w="6660" w:type="dxa"/>
          </w:tcPr>
          <w:p w14:paraId="74C8C81D" w14:textId="77777777" w:rsidR="00CD4596" w:rsidRDefault="00000000">
            <w:pPr>
              <w:pStyle w:val="TableText"/>
            </w:pPr>
            <w:r>
              <w:t>Irrigation, pumps, sensors, maintenance, tools and selected machinery components with clear users and service networks.</w:t>
            </w:r>
          </w:p>
        </w:tc>
      </w:tr>
      <w:tr w:rsidR="00CD4596" w14:paraId="598D9EF8" w14:textId="77777777">
        <w:trPr>
          <w:cantSplit/>
          <w:jc w:val="center"/>
        </w:trPr>
        <w:tc>
          <w:tcPr>
            <w:tcW w:w="2700" w:type="dxa"/>
            <w:shd w:val="clear" w:color="auto" w:fill="F3F5F4"/>
          </w:tcPr>
          <w:p w14:paraId="29969B9D" w14:textId="77777777" w:rsidR="00CD4596" w:rsidRDefault="00000000">
            <w:pPr>
              <w:pStyle w:val="TableText"/>
            </w:pPr>
            <w:r>
              <w:rPr>
                <w:b/>
                <w:color w:val="075A2C"/>
              </w:rPr>
              <w:t>Renewable and efficient energy systems</w:t>
            </w:r>
          </w:p>
        </w:tc>
        <w:tc>
          <w:tcPr>
            <w:tcW w:w="6660" w:type="dxa"/>
            <w:shd w:val="clear" w:color="auto" w:fill="F3F5F4"/>
          </w:tcPr>
          <w:p w14:paraId="11DCAAB5" w14:textId="77777777" w:rsidR="00CD4596" w:rsidRDefault="00000000">
            <w:pPr>
              <w:pStyle w:val="TableText"/>
            </w:pPr>
            <w:r>
              <w:t>Generation, storage, grid services, efficiency, heat recovery and maintenance capabilities matched to system economics.</w:t>
            </w:r>
          </w:p>
        </w:tc>
      </w:tr>
      <w:tr w:rsidR="00CD4596" w14:paraId="22E8F81D" w14:textId="77777777">
        <w:trPr>
          <w:cantSplit/>
          <w:jc w:val="center"/>
        </w:trPr>
        <w:tc>
          <w:tcPr>
            <w:tcW w:w="2700" w:type="dxa"/>
          </w:tcPr>
          <w:p w14:paraId="2918794B" w14:textId="77777777" w:rsidR="00CD4596" w:rsidRDefault="00000000">
            <w:pPr>
              <w:pStyle w:val="TableText"/>
            </w:pPr>
            <w:r>
              <w:rPr>
                <w:b/>
                <w:color w:val="075A2C"/>
              </w:rPr>
              <w:t>Logistics and trade services</w:t>
            </w:r>
          </w:p>
        </w:tc>
        <w:tc>
          <w:tcPr>
            <w:tcW w:w="6660" w:type="dxa"/>
          </w:tcPr>
          <w:p w14:paraId="2AF20CFC" w14:textId="77777777" w:rsidR="00CD4596" w:rsidRDefault="00000000">
            <w:pPr>
              <w:pStyle w:val="TableText"/>
            </w:pPr>
            <w:r>
              <w:t>Freight, consolidation, warehousing, certification, customs support and digital supplier discovery.</w:t>
            </w:r>
          </w:p>
        </w:tc>
      </w:tr>
      <w:tr w:rsidR="00CD4596" w14:paraId="00171F17" w14:textId="77777777">
        <w:trPr>
          <w:cantSplit/>
          <w:jc w:val="center"/>
        </w:trPr>
        <w:tc>
          <w:tcPr>
            <w:tcW w:w="2700" w:type="dxa"/>
            <w:shd w:val="clear" w:color="auto" w:fill="F3F5F4"/>
          </w:tcPr>
          <w:p w14:paraId="5E833ED5" w14:textId="77777777" w:rsidR="00CD4596" w:rsidRDefault="00000000">
            <w:pPr>
              <w:pStyle w:val="TableText"/>
            </w:pPr>
            <w:r>
              <w:rPr>
                <w:b/>
                <w:color w:val="075A2C"/>
              </w:rPr>
              <w:t>Human capability and applied R&amp;D</w:t>
            </w:r>
          </w:p>
        </w:tc>
        <w:tc>
          <w:tcPr>
            <w:tcW w:w="6660" w:type="dxa"/>
            <w:shd w:val="clear" w:color="auto" w:fill="F3F5F4"/>
          </w:tcPr>
          <w:p w14:paraId="6C0E6A76" w14:textId="77777777" w:rsidR="00CD4596" w:rsidRDefault="00000000">
            <w:pPr>
              <w:pStyle w:val="TableText"/>
            </w:pPr>
            <w:r>
              <w:t xml:space="preserve">Technical training, clinical engineering, agriculture trials, materials testing, software </w:t>
            </w:r>
            <w:proofErr w:type="gramStart"/>
            <w:r>
              <w:t>and production-</w:t>
            </w:r>
            <w:proofErr w:type="gramEnd"/>
            <w:r>
              <w:t>process improvement.</w:t>
            </w:r>
          </w:p>
        </w:tc>
      </w:tr>
    </w:tbl>
    <w:p w14:paraId="12107054" w14:textId="51818CA9" w:rsidR="00CD4596" w:rsidRDefault="00000000">
      <w:pPr>
        <w:pStyle w:val="Heading2"/>
      </w:pPr>
      <w:proofErr w:type="gramStart"/>
      <w:r>
        <w:lastRenderedPageBreak/>
        <w:t xml:space="preserve">7.3  </w:t>
      </w:r>
      <w:r w:rsidR="00C214F3">
        <w:t>Economic</w:t>
      </w:r>
      <w:proofErr w:type="gramEnd"/>
      <w:r w:rsidR="00C214F3">
        <w:t xml:space="preserve"> Town Model</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340"/>
        <w:gridCol w:w="2340"/>
        <w:gridCol w:w="2340"/>
        <w:gridCol w:w="2340"/>
      </w:tblGrid>
      <w:tr w:rsidR="00CD4596" w14:paraId="1EC40F53" w14:textId="77777777">
        <w:trPr>
          <w:tblHeader/>
          <w:jc w:val="center"/>
        </w:trPr>
        <w:tc>
          <w:tcPr>
            <w:tcW w:w="2340" w:type="dxa"/>
            <w:shd w:val="clear" w:color="auto" w:fill="075A2C"/>
            <w:tcMar>
              <w:top w:w="90" w:type="dxa"/>
              <w:left w:w="100" w:type="dxa"/>
              <w:bottom w:w="90" w:type="dxa"/>
              <w:right w:w="100" w:type="dxa"/>
            </w:tcMar>
            <w:vAlign w:val="center"/>
          </w:tcPr>
          <w:p w14:paraId="1BB1F81F" w14:textId="56EDE6DD" w:rsidR="00CD4596" w:rsidRDefault="00C214F3">
            <w:r>
              <w:rPr>
                <w:b/>
                <w:color w:val="FFFFFF"/>
                <w:sz w:val="17"/>
              </w:rPr>
              <w:t>Economic Core (Asset Class)</w:t>
            </w:r>
          </w:p>
        </w:tc>
        <w:tc>
          <w:tcPr>
            <w:tcW w:w="2340" w:type="dxa"/>
            <w:shd w:val="clear" w:color="auto" w:fill="075A2C"/>
            <w:tcMar>
              <w:top w:w="90" w:type="dxa"/>
              <w:left w:w="100" w:type="dxa"/>
              <w:bottom w:w="90" w:type="dxa"/>
              <w:right w:w="100" w:type="dxa"/>
            </w:tcMar>
            <w:vAlign w:val="center"/>
          </w:tcPr>
          <w:p w14:paraId="158887D6" w14:textId="77777777" w:rsidR="00CD4596" w:rsidRDefault="00000000">
            <w:r>
              <w:rPr>
                <w:b/>
                <w:color w:val="FFFFFF"/>
                <w:sz w:val="17"/>
              </w:rPr>
              <w:t>Shared foundations</w:t>
            </w:r>
          </w:p>
        </w:tc>
        <w:tc>
          <w:tcPr>
            <w:tcW w:w="2340" w:type="dxa"/>
            <w:shd w:val="clear" w:color="auto" w:fill="075A2C"/>
            <w:tcMar>
              <w:top w:w="90" w:type="dxa"/>
              <w:left w:w="100" w:type="dxa"/>
              <w:bottom w:w="90" w:type="dxa"/>
              <w:right w:w="100" w:type="dxa"/>
            </w:tcMar>
            <w:vAlign w:val="center"/>
          </w:tcPr>
          <w:p w14:paraId="31CFE473" w14:textId="77777777" w:rsidR="00CD4596" w:rsidRDefault="00000000">
            <w:r>
              <w:rPr>
                <w:b/>
                <w:color w:val="FFFFFF"/>
                <w:sz w:val="17"/>
              </w:rPr>
              <w:t>Living system</w:t>
            </w:r>
          </w:p>
        </w:tc>
        <w:tc>
          <w:tcPr>
            <w:tcW w:w="2340" w:type="dxa"/>
            <w:shd w:val="clear" w:color="auto" w:fill="075A2C"/>
            <w:tcMar>
              <w:top w:w="90" w:type="dxa"/>
              <w:left w:w="100" w:type="dxa"/>
              <w:bottom w:w="90" w:type="dxa"/>
              <w:right w:w="100" w:type="dxa"/>
            </w:tcMar>
            <w:vAlign w:val="center"/>
          </w:tcPr>
          <w:p w14:paraId="0F7BE31A" w14:textId="77777777" w:rsidR="00CD4596" w:rsidRDefault="00000000">
            <w:r>
              <w:rPr>
                <w:b/>
                <w:color w:val="FFFFFF"/>
                <w:sz w:val="17"/>
              </w:rPr>
              <w:t>Market connection</w:t>
            </w:r>
          </w:p>
        </w:tc>
      </w:tr>
      <w:tr w:rsidR="00CD4596" w14:paraId="4FC5EB3D" w14:textId="77777777" w:rsidTr="00C214F3">
        <w:trPr>
          <w:cantSplit/>
          <w:trHeight w:val="703"/>
          <w:jc w:val="center"/>
        </w:trPr>
        <w:tc>
          <w:tcPr>
            <w:tcW w:w="2340" w:type="dxa"/>
          </w:tcPr>
          <w:p w14:paraId="628CA370" w14:textId="6F23D49D" w:rsidR="00CD4596" w:rsidRDefault="00C214F3">
            <w:pPr>
              <w:pStyle w:val="TableText"/>
            </w:pPr>
            <w:r>
              <w:t xml:space="preserve">Industrial Zone, High-Income Houses, </w:t>
            </w:r>
            <w:r w:rsidR="00AB2B3D">
              <w:t>Middle- and Low-Income</w:t>
            </w:r>
            <w:r>
              <w:t xml:space="preserve"> Apartments, Stores, Commercial Zone, Gas Station, Public Services, Private Services, Hospitality, Agribusinesses, Offices, and More.</w:t>
            </w:r>
          </w:p>
        </w:tc>
        <w:tc>
          <w:tcPr>
            <w:tcW w:w="2340" w:type="dxa"/>
          </w:tcPr>
          <w:p w14:paraId="4866FA0C" w14:textId="3DB9A887" w:rsidR="00CD4596" w:rsidRDefault="00000000">
            <w:pPr>
              <w:pStyle w:val="TableText"/>
            </w:pPr>
            <w:r>
              <w:t xml:space="preserve">Water, power, data, testing, waste systems, </w:t>
            </w:r>
            <w:r w:rsidR="006F14AF">
              <w:t>building infrastructure (basements, central air conditioner, centralized boilers, etc.)</w:t>
            </w:r>
            <w:r w:rsidR="00B5259C">
              <w:t xml:space="preserve"> – </w:t>
            </w:r>
            <w:proofErr w:type="gramStart"/>
            <w:r w:rsidR="00B5259C">
              <w:t>high quality</w:t>
            </w:r>
            <w:proofErr w:type="gramEnd"/>
            <w:r w:rsidR="00B5259C">
              <w:t xml:space="preserve"> life standards for </w:t>
            </w:r>
            <w:r w:rsidR="00405EE7">
              <w:t>apartment lifetime</w:t>
            </w:r>
            <w:r w:rsidR="00037A29">
              <w:t xml:space="preserve"> and increases future value especially for rented properties sold later or future phases</w:t>
            </w:r>
            <w:r w:rsidR="006F14AF">
              <w:t xml:space="preserve">, </w:t>
            </w:r>
            <w:r>
              <w:t xml:space="preserve">logistics and emergency </w:t>
            </w:r>
            <w:r w:rsidR="00C214F3">
              <w:t xml:space="preserve">and government </w:t>
            </w:r>
            <w:r>
              <w:t>services</w:t>
            </w:r>
          </w:p>
        </w:tc>
        <w:tc>
          <w:tcPr>
            <w:tcW w:w="2340" w:type="dxa"/>
          </w:tcPr>
          <w:p w14:paraId="31936997" w14:textId="5D87F741" w:rsidR="00CD4596" w:rsidRDefault="00000000">
            <w:pPr>
              <w:pStyle w:val="TableText"/>
            </w:pPr>
            <w:r>
              <w:t xml:space="preserve">Mixed housing, mobility, clinic, schools, retail, </w:t>
            </w:r>
            <w:r w:rsidR="00C214F3">
              <w:t xml:space="preserve">open town model, organic growth goal (town to city), </w:t>
            </w:r>
            <w:r>
              <w:t>public realm and civic administration</w:t>
            </w:r>
          </w:p>
        </w:tc>
        <w:tc>
          <w:tcPr>
            <w:tcW w:w="2340" w:type="dxa"/>
          </w:tcPr>
          <w:p w14:paraId="7F46876A" w14:textId="109A5A15" w:rsidR="00CD4596" w:rsidRDefault="00000000">
            <w:pPr>
              <w:pStyle w:val="TableText"/>
            </w:pPr>
            <w:r>
              <w:t>Domestic buyers, export services, digital B2B platform, standards and finance</w:t>
            </w:r>
            <w:r w:rsidR="007949CC">
              <w:t>, economic coordination and participation of businesses, employment, migration easing, and more.</w:t>
            </w:r>
          </w:p>
        </w:tc>
      </w:tr>
    </w:tbl>
    <w:p w14:paraId="76DE5534" w14:textId="4E066901" w:rsidR="00CD4596" w:rsidRDefault="00000000">
      <w:pPr>
        <w:spacing w:after="60"/>
      </w:pPr>
      <w:r>
        <w:rPr>
          <w:b/>
          <w:color w:val="2F7D52"/>
          <w:sz w:val="16"/>
        </w:rPr>
        <w:t xml:space="preserve">THE </w:t>
      </w:r>
      <w:r w:rsidR="00C214F3">
        <w:rPr>
          <w:b/>
          <w:color w:val="2F7D52"/>
          <w:sz w:val="16"/>
        </w:rPr>
        <w:t>ECONOMIC</w:t>
      </w:r>
      <w:r>
        <w:rPr>
          <w:b/>
          <w:color w:val="2F7D52"/>
          <w:sz w:val="16"/>
        </w:rPr>
        <w:t xml:space="preserve">-TOWN </w:t>
      </w:r>
      <w:r w:rsidR="00C214F3">
        <w:rPr>
          <w:b/>
          <w:color w:val="2F7D52"/>
          <w:sz w:val="16"/>
        </w:rPr>
        <w:t>MODEL</w:t>
      </w:r>
    </w:p>
    <w:p w14:paraId="4A77A81F" w14:textId="77777777" w:rsidR="00CD4596" w:rsidRDefault="00000000">
      <w:pPr>
        <w:pStyle w:val="BodyText"/>
      </w:pPr>
      <w:r>
        <w:t>The module should be small enough to phase and large enough to test system interactions. Employment must lead or advance alongside settlement occupancy. Shared infrastructure should be sized for credible demand with modular expansion. A town operator must be responsible for service standards and asset maintenance, while public authorities retain their lawful regulatory and civic roles.</w:t>
      </w:r>
    </w:p>
    <w:p w14:paraId="6B798D64" w14:textId="77777777" w:rsidR="00CD4596" w:rsidRDefault="00000000">
      <w:pPr>
        <w:pStyle w:val="Heading2"/>
      </w:pPr>
      <w:proofErr w:type="gramStart"/>
      <w:r>
        <w:t>7.4  The</w:t>
      </w:r>
      <w:proofErr w:type="gramEnd"/>
      <w:r>
        <w:t xml:space="preserve"> New Delta dashboard</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1850"/>
        <w:gridCol w:w="4550"/>
        <w:gridCol w:w="2960"/>
      </w:tblGrid>
      <w:tr w:rsidR="00CD4596" w14:paraId="2D7A8FDA" w14:textId="77777777">
        <w:trPr>
          <w:tblHeader/>
          <w:jc w:val="center"/>
        </w:trPr>
        <w:tc>
          <w:tcPr>
            <w:tcW w:w="1850" w:type="dxa"/>
            <w:shd w:val="clear" w:color="auto" w:fill="075A2C"/>
            <w:tcMar>
              <w:top w:w="90" w:type="dxa"/>
              <w:left w:w="100" w:type="dxa"/>
              <w:bottom w:w="90" w:type="dxa"/>
              <w:right w:w="100" w:type="dxa"/>
            </w:tcMar>
            <w:vAlign w:val="center"/>
          </w:tcPr>
          <w:p w14:paraId="31323741" w14:textId="77777777" w:rsidR="00CD4596" w:rsidRDefault="00000000">
            <w:r>
              <w:rPr>
                <w:b/>
                <w:color w:val="FFFFFF"/>
                <w:sz w:val="17"/>
              </w:rPr>
              <w:t>Dimension</w:t>
            </w:r>
          </w:p>
        </w:tc>
        <w:tc>
          <w:tcPr>
            <w:tcW w:w="4550" w:type="dxa"/>
            <w:shd w:val="clear" w:color="auto" w:fill="075A2C"/>
            <w:tcMar>
              <w:top w:w="90" w:type="dxa"/>
              <w:left w:w="100" w:type="dxa"/>
              <w:bottom w:w="90" w:type="dxa"/>
              <w:right w:w="100" w:type="dxa"/>
            </w:tcMar>
            <w:vAlign w:val="center"/>
          </w:tcPr>
          <w:p w14:paraId="6E7E9140" w14:textId="77777777" w:rsidR="00CD4596" w:rsidRDefault="00000000">
            <w:r>
              <w:rPr>
                <w:b/>
                <w:color w:val="FFFFFF"/>
                <w:sz w:val="17"/>
              </w:rPr>
              <w:t>Core measures</w:t>
            </w:r>
          </w:p>
        </w:tc>
        <w:tc>
          <w:tcPr>
            <w:tcW w:w="2960" w:type="dxa"/>
            <w:shd w:val="clear" w:color="auto" w:fill="075A2C"/>
            <w:tcMar>
              <w:top w:w="90" w:type="dxa"/>
              <w:left w:w="100" w:type="dxa"/>
              <w:bottom w:w="90" w:type="dxa"/>
              <w:right w:w="100" w:type="dxa"/>
            </w:tcMar>
            <w:vAlign w:val="center"/>
          </w:tcPr>
          <w:p w14:paraId="08973FE3" w14:textId="77777777" w:rsidR="00CD4596" w:rsidRDefault="00000000">
            <w:r>
              <w:rPr>
                <w:b/>
                <w:color w:val="FFFFFF"/>
                <w:sz w:val="17"/>
              </w:rPr>
              <w:t>Why investors and policymakers need it</w:t>
            </w:r>
          </w:p>
        </w:tc>
      </w:tr>
      <w:tr w:rsidR="00CD4596" w14:paraId="2F6741D7" w14:textId="77777777">
        <w:trPr>
          <w:cantSplit/>
          <w:jc w:val="center"/>
        </w:trPr>
        <w:tc>
          <w:tcPr>
            <w:tcW w:w="1850" w:type="dxa"/>
          </w:tcPr>
          <w:p w14:paraId="51ED745D" w14:textId="77777777" w:rsidR="00CD4596" w:rsidRDefault="00000000">
            <w:pPr>
              <w:pStyle w:val="TableText"/>
            </w:pPr>
            <w:r>
              <w:rPr>
                <w:b/>
                <w:color w:val="075A2C"/>
              </w:rPr>
              <w:t>Production</w:t>
            </w:r>
          </w:p>
        </w:tc>
        <w:tc>
          <w:tcPr>
            <w:tcW w:w="4550" w:type="dxa"/>
          </w:tcPr>
          <w:p w14:paraId="1D95E948" w14:textId="77777777" w:rsidR="00CD4596" w:rsidRDefault="00000000">
            <w:pPr>
              <w:pStyle w:val="TableText"/>
            </w:pPr>
            <w:r>
              <w:t>Yield, output, quality, capacity utilization, downtime</w:t>
            </w:r>
          </w:p>
        </w:tc>
        <w:tc>
          <w:tcPr>
            <w:tcW w:w="2960" w:type="dxa"/>
          </w:tcPr>
          <w:p w14:paraId="1B232C4D" w14:textId="77777777" w:rsidR="00CD4596" w:rsidRDefault="00000000">
            <w:pPr>
              <w:pStyle w:val="TableText"/>
            </w:pPr>
            <w:r>
              <w:t>Shows whether assets operate as designed.</w:t>
            </w:r>
          </w:p>
        </w:tc>
      </w:tr>
      <w:tr w:rsidR="00CD4596" w14:paraId="71F5B3E9" w14:textId="77777777">
        <w:trPr>
          <w:cantSplit/>
          <w:jc w:val="center"/>
        </w:trPr>
        <w:tc>
          <w:tcPr>
            <w:tcW w:w="1850" w:type="dxa"/>
            <w:shd w:val="clear" w:color="auto" w:fill="F3F5F4"/>
          </w:tcPr>
          <w:p w14:paraId="2755B3F7" w14:textId="77777777" w:rsidR="00CD4596" w:rsidRDefault="00000000">
            <w:pPr>
              <w:pStyle w:val="TableText"/>
            </w:pPr>
            <w:r>
              <w:rPr>
                <w:b/>
                <w:color w:val="075A2C"/>
              </w:rPr>
              <w:t>Productivity</w:t>
            </w:r>
          </w:p>
        </w:tc>
        <w:tc>
          <w:tcPr>
            <w:tcW w:w="4550" w:type="dxa"/>
            <w:shd w:val="clear" w:color="auto" w:fill="F3F5F4"/>
          </w:tcPr>
          <w:p w14:paraId="1DE5E2EC" w14:textId="77777777" w:rsidR="00CD4596" w:rsidRDefault="00000000">
            <w:pPr>
              <w:pStyle w:val="TableText"/>
            </w:pPr>
            <w:r>
              <w:t xml:space="preserve">Output per worker, hectare, cubic </w:t>
            </w:r>
            <w:proofErr w:type="spellStart"/>
            <w:r>
              <w:t>metre</w:t>
            </w:r>
            <w:proofErr w:type="spellEnd"/>
            <w:r>
              <w:t xml:space="preserve"> of water, MWh and unit of capital</w:t>
            </w:r>
          </w:p>
        </w:tc>
        <w:tc>
          <w:tcPr>
            <w:tcW w:w="2960" w:type="dxa"/>
            <w:shd w:val="clear" w:color="auto" w:fill="F3F5F4"/>
          </w:tcPr>
          <w:p w14:paraId="173F498F" w14:textId="77777777" w:rsidR="00CD4596" w:rsidRDefault="00000000">
            <w:pPr>
              <w:pStyle w:val="TableText"/>
            </w:pPr>
            <w:r>
              <w:t>Reveals real efficiency, not just spending.</w:t>
            </w:r>
          </w:p>
        </w:tc>
      </w:tr>
      <w:tr w:rsidR="00CD4596" w14:paraId="419E2AC2" w14:textId="77777777">
        <w:trPr>
          <w:cantSplit/>
          <w:jc w:val="center"/>
        </w:trPr>
        <w:tc>
          <w:tcPr>
            <w:tcW w:w="1850" w:type="dxa"/>
          </w:tcPr>
          <w:p w14:paraId="7A03DDFD" w14:textId="77777777" w:rsidR="00CD4596" w:rsidRDefault="00000000">
            <w:pPr>
              <w:pStyle w:val="TableText"/>
            </w:pPr>
            <w:r>
              <w:rPr>
                <w:b/>
                <w:color w:val="075A2C"/>
              </w:rPr>
              <w:t>People</w:t>
            </w:r>
          </w:p>
        </w:tc>
        <w:tc>
          <w:tcPr>
            <w:tcW w:w="4550" w:type="dxa"/>
          </w:tcPr>
          <w:p w14:paraId="016825EE" w14:textId="77777777" w:rsidR="00CD4596" w:rsidRDefault="00000000">
            <w:pPr>
              <w:pStyle w:val="TableText"/>
            </w:pPr>
            <w:r>
              <w:t>Direct and indirect jobs, wages, safety, training, housing and service access</w:t>
            </w:r>
          </w:p>
        </w:tc>
        <w:tc>
          <w:tcPr>
            <w:tcW w:w="2960" w:type="dxa"/>
          </w:tcPr>
          <w:p w14:paraId="1383C80C" w14:textId="77777777" w:rsidR="00CD4596" w:rsidRDefault="00000000">
            <w:pPr>
              <w:pStyle w:val="TableText"/>
            </w:pPr>
            <w:proofErr w:type="gramStart"/>
            <w:r>
              <w:t>Tests</w:t>
            </w:r>
            <w:proofErr w:type="gramEnd"/>
            <w:r>
              <w:t xml:space="preserve"> whether growth becomes a functioning society.</w:t>
            </w:r>
          </w:p>
        </w:tc>
      </w:tr>
      <w:tr w:rsidR="00CD4596" w14:paraId="3E2009DF" w14:textId="77777777">
        <w:trPr>
          <w:cantSplit/>
          <w:jc w:val="center"/>
        </w:trPr>
        <w:tc>
          <w:tcPr>
            <w:tcW w:w="1850" w:type="dxa"/>
            <w:shd w:val="clear" w:color="auto" w:fill="F3F5F4"/>
          </w:tcPr>
          <w:p w14:paraId="6BDB34DF" w14:textId="77777777" w:rsidR="00CD4596" w:rsidRDefault="00000000">
            <w:pPr>
              <w:pStyle w:val="TableText"/>
            </w:pPr>
            <w:r>
              <w:rPr>
                <w:b/>
                <w:color w:val="075A2C"/>
              </w:rPr>
              <w:t>Value chains</w:t>
            </w:r>
          </w:p>
        </w:tc>
        <w:tc>
          <w:tcPr>
            <w:tcW w:w="4550" w:type="dxa"/>
            <w:shd w:val="clear" w:color="auto" w:fill="F3F5F4"/>
          </w:tcPr>
          <w:p w14:paraId="53882FD1" w14:textId="77777777" w:rsidR="00CD4596" w:rsidRDefault="00000000">
            <w:pPr>
              <w:pStyle w:val="TableText"/>
            </w:pPr>
            <w:r>
              <w:t>Domestic value added, supplier count, on-time delivery, import content</w:t>
            </w:r>
          </w:p>
        </w:tc>
        <w:tc>
          <w:tcPr>
            <w:tcW w:w="2960" w:type="dxa"/>
            <w:shd w:val="clear" w:color="auto" w:fill="F3F5F4"/>
          </w:tcPr>
          <w:p w14:paraId="2A9F58D7" w14:textId="77777777" w:rsidR="00CD4596" w:rsidRDefault="00000000">
            <w:pPr>
              <w:pStyle w:val="TableText"/>
            </w:pPr>
            <w:r>
              <w:t>Tracks retained capability and dependency.</w:t>
            </w:r>
          </w:p>
        </w:tc>
      </w:tr>
      <w:tr w:rsidR="00CD4596" w14:paraId="1D1BF3FA" w14:textId="77777777">
        <w:trPr>
          <w:cantSplit/>
          <w:jc w:val="center"/>
        </w:trPr>
        <w:tc>
          <w:tcPr>
            <w:tcW w:w="1850" w:type="dxa"/>
          </w:tcPr>
          <w:p w14:paraId="6E277AB6" w14:textId="77777777" w:rsidR="00CD4596" w:rsidRDefault="00000000">
            <w:pPr>
              <w:pStyle w:val="TableText"/>
            </w:pPr>
            <w:r>
              <w:rPr>
                <w:b/>
                <w:color w:val="075A2C"/>
              </w:rPr>
              <w:t>Foreign exchange</w:t>
            </w:r>
          </w:p>
        </w:tc>
        <w:tc>
          <w:tcPr>
            <w:tcW w:w="4550" w:type="dxa"/>
          </w:tcPr>
          <w:p w14:paraId="7B9B9BFD" w14:textId="77777777" w:rsidR="00CD4596" w:rsidRDefault="00000000">
            <w:pPr>
              <w:pStyle w:val="TableText"/>
            </w:pPr>
            <w:r>
              <w:t>FX required, earned or saved by quarter; sensitivity and hedging</w:t>
            </w:r>
          </w:p>
        </w:tc>
        <w:tc>
          <w:tcPr>
            <w:tcW w:w="2960" w:type="dxa"/>
          </w:tcPr>
          <w:p w14:paraId="1BBC2D20" w14:textId="77777777" w:rsidR="00CD4596" w:rsidRDefault="00000000">
            <w:pPr>
              <w:pStyle w:val="TableText"/>
            </w:pPr>
            <w:r>
              <w:t>Protects project and macroeconomic viability.</w:t>
            </w:r>
          </w:p>
        </w:tc>
      </w:tr>
      <w:tr w:rsidR="00CD4596" w14:paraId="39FB2731" w14:textId="77777777">
        <w:trPr>
          <w:cantSplit/>
          <w:jc w:val="center"/>
        </w:trPr>
        <w:tc>
          <w:tcPr>
            <w:tcW w:w="1850" w:type="dxa"/>
            <w:shd w:val="clear" w:color="auto" w:fill="F3F5F4"/>
          </w:tcPr>
          <w:p w14:paraId="546B7F02" w14:textId="77777777" w:rsidR="00CD4596" w:rsidRDefault="00000000">
            <w:pPr>
              <w:pStyle w:val="TableText"/>
            </w:pPr>
            <w:r>
              <w:rPr>
                <w:b/>
                <w:color w:val="075A2C"/>
              </w:rPr>
              <w:t>Finance</w:t>
            </w:r>
          </w:p>
        </w:tc>
        <w:tc>
          <w:tcPr>
            <w:tcW w:w="4550" w:type="dxa"/>
            <w:shd w:val="clear" w:color="auto" w:fill="F3F5F4"/>
          </w:tcPr>
          <w:p w14:paraId="3AF44A9D" w14:textId="77777777" w:rsidR="00CD4596" w:rsidRDefault="00000000">
            <w:pPr>
              <w:pStyle w:val="TableText"/>
            </w:pPr>
            <w:r>
              <w:t xml:space="preserve">Capex, </w:t>
            </w:r>
            <w:proofErr w:type="spellStart"/>
            <w:r>
              <w:t>opex</w:t>
            </w:r>
            <w:proofErr w:type="spellEnd"/>
            <w:r>
              <w:t>, cash flow, debt-service coverage, fiscal exposure</w:t>
            </w:r>
          </w:p>
        </w:tc>
        <w:tc>
          <w:tcPr>
            <w:tcW w:w="2960" w:type="dxa"/>
            <w:shd w:val="clear" w:color="auto" w:fill="F3F5F4"/>
          </w:tcPr>
          <w:p w14:paraId="48DF4F89" w14:textId="77777777" w:rsidR="00CD4596" w:rsidRDefault="00000000">
            <w:pPr>
              <w:pStyle w:val="TableText"/>
            </w:pPr>
            <w:r>
              <w:t>Tests commercial durability and public risk.</w:t>
            </w:r>
          </w:p>
        </w:tc>
      </w:tr>
      <w:tr w:rsidR="00CD4596" w14:paraId="68EE6983" w14:textId="77777777">
        <w:trPr>
          <w:cantSplit/>
          <w:jc w:val="center"/>
        </w:trPr>
        <w:tc>
          <w:tcPr>
            <w:tcW w:w="1850" w:type="dxa"/>
          </w:tcPr>
          <w:p w14:paraId="731B5645" w14:textId="77777777" w:rsidR="00CD4596" w:rsidRDefault="00000000">
            <w:pPr>
              <w:pStyle w:val="TableText"/>
            </w:pPr>
            <w:r>
              <w:rPr>
                <w:b/>
                <w:color w:val="075A2C"/>
              </w:rPr>
              <w:t>Environment</w:t>
            </w:r>
          </w:p>
        </w:tc>
        <w:tc>
          <w:tcPr>
            <w:tcW w:w="4550" w:type="dxa"/>
          </w:tcPr>
          <w:p w14:paraId="7AC97C3D" w14:textId="77777777" w:rsidR="00CD4596" w:rsidRDefault="00000000">
            <w:pPr>
              <w:pStyle w:val="TableText"/>
            </w:pPr>
            <w:r>
              <w:t>Water, energy, emissions, waste, land and ecosystem indicators</w:t>
            </w:r>
          </w:p>
        </w:tc>
        <w:tc>
          <w:tcPr>
            <w:tcW w:w="2960" w:type="dxa"/>
          </w:tcPr>
          <w:p w14:paraId="1EB03503" w14:textId="77777777" w:rsidR="00CD4596" w:rsidRDefault="00000000">
            <w:pPr>
              <w:pStyle w:val="TableText"/>
            </w:pPr>
            <w:r>
              <w:t>Keeps production inside physical limits.</w:t>
            </w:r>
          </w:p>
        </w:tc>
      </w:tr>
      <w:tr w:rsidR="00CD4596" w14:paraId="359812AC" w14:textId="77777777">
        <w:trPr>
          <w:cantSplit/>
          <w:jc w:val="center"/>
        </w:trPr>
        <w:tc>
          <w:tcPr>
            <w:tcW w:w="1850" w:type="dxa"/>
            <w:shd w:val="clear" w:color="auto" w:fill="F3F5F4"/>
          </w:tcPr>
          <w:p w14:paraId="1D52B3FD" w14:textId="77777777" w:rsidR="00CD4596" w:rsidRDefault="00000000">
            <w:pPr>
              <w:pStyle w:val="TableText"/>
            </w:pPr>
            <w:r>
              <w:rPr>
                <w:b/>
                <w:color w:val="075A2C"/>
              </w:rPr>
              <w:t>Resilience</w:t>
            </w:r>
          </w:p>
        </w:tc>
        <w:tc>
          <w:tcPr>
            <w:tcW w:w="4550" w:type="dxa"/>
            <w:shd w:val="clear" w:color="auto" w:fill="F3F5F4"/>
          </w:tcPr>
          <w:p w14:paraId="08CFABE2" w14:textId="77777777" w:rsidR="00CD4596" w:rsidRDefault="00000000">
            <w:pPr>
              <w:pStyle w:val="TableText"/>
            </w:pPr>
            <w:r>
              <w:t>Critical suppliers, redundancy, inventories, recovery time and insurance</w:t>
            </w:r>
          </w:p>
        </w:tc>
        <w:tc>
          <w:tcPr>
            <w:tcW w:w="2960" w:type="dxa"/>
            <w:shd w:val="clear" w:color="auto" w:fill="F3F5F4"/>
          </w:tcPr>
          <w:p w14:paraId="2201AEB5" w14:textId="77777777" w:rsidR="00CD4596" w:rsidRDefault="00000000">
            <w:pPr>
              <w:pStyle w:val="TableText"/>
            </w:pPr>
            <w:r>
              <w:t>Measures readiness for shocks.</w:t>
            </w:r>
          </w:p>
        </w:tc>
      </w:tr>
    </w:tbl>
    <w:p w14:paraId="4FF023CB" w14:textId="77777777" w:rsidR="00CD4596" w:rsidRDefault="00000000">
      <w:pPr>
        <w:pStyle w:val="Heading1"/>
        <w:pageBreakBefore/>
        <w:pBdr>
          <w:bottom w:val="single" w:sz="6" w:space="6" w:color="CFE5D7"/>
        </w:pBdr>
      </w:pPr>
      <w:proofErr w:type="gramStart"/>
      <w:r>
        <w:rPr>
          <w:color w:val="2F7D52"/>
        </w:rPr>
        <w:lastRenderedPageBreak/>
        <w:t xml:space="preserve">08  </w:t>
      </w:r>
      <w:r>
        <w:t>Youth</w:t>
      </w:r>
      <w:proofErr w:type="gramEnd"/>
      <w:r>
        <w:t xml:space="preserve"> Technologies and </w:t>
      </w:r>
      <w:proofErr w:type="gramStart"/>
      <w:r>
        <w:t>stewardship</w:t>
      </w:r>
      <w:proofErr w:type="gramEnd"/>
    </w:p>
    <w:p w14:paraId="4A9A0833" w14:textId="77777777" w:rsidR="00CD4596" w:rsidRDefault="00000000">
      <w:pPr>
        <w:pStyle w:val="ChapterSubtitle"/>
      </w:pPr>
      <w:r>
        <w:t>Youth’s commercial model is to earn by designing, improving and helping deliver systems that create measurable value.</w:t>
      </w:r>
    </w:p>
    <w:p w14:paraId="1239641F" w14:textId="77777777" w:rsidR="00CD4596" w:rsidRDefault="00000000">
      <w:pPr>
        <w:pStyle w:val="Heading2"/>
      </w:pPr>
      <w:proofErr w:type="gramStart"/>
      <w:r>
        <w:t>8.1  Stewardship</w:t>
      </w:r>
      <w:proofErr w:type="gramEnd"/>
      <w:r>
        <w:t xml:space="preserve"> as a business discipline</w:t>
      </w:r>
    </w:p>
    <w:p w14:paraId="3EC2B9B3" w14:textId="77777777" w:rsidR="00CD4596" w:rsidRDefault="00000000">
      <w:pPr>
        <w:pStyle w:val="BodyText"/>
      </w:pPr>
      <w:r>
        <w:t>Youth defines itself as a stewardship Economic R&amp;D firm: a for-profit company that develops products and services beneficial to society, people and the economy and earns from that work. Stewardship is not a claim of moral authority or a substitute for democratic government. It is a duty attached to a defined asset, project or mandate: understand the system, protect long-term value, disclose conflicts, measure results and remain accountable to contracts, law and affected stakeholders.</w:t>
      </w:r>
    </w:p>
    <w:tbl>
      <w:tblPr>
        <w:tblW w:w="9000" w:type="dxa"/>
        <w:jc w:val="center"/>
        <w:tblBorders>
          <w:top w:val="single" w:sz="8" w:space="0" w:color="075A2C"/>
          <w:left w:val="single" w:sz="8" w:space="0" w:color="075A2C"/>
          <w:bottom w:val="single" w:sz="8" w:space="0" w:color="075A2C"/>
          <w:right w:val="single" w:sz="8" w:space="0" w:color="075A2C"/>
          <w:insideH w:val="single" w:sz="8" w:space="0" w:color="075A2C"/>
          <w:insideV w:val="single" w:sz="8" w:space="0" w:color="075A2C"/>
        </w:tblBorders>
        <w:tblLayout w:type="fixed"/>
        <w:tblLook w:val="04A0" w:firstRow="1" w:lastRow="0" w:firstColumn="1" w:lastColumn="0" w:noHBand="0" w:noVBand="1"/>
      </w:tblPr>
      <w:tblGrid>
        <w:gridCol w:w="9000"/>
      </w:tblGrid>
      <w:tr w:rsidR="00CD4596" w14:paraId="1D47765F" w14:textId="77777777">
        <w:trPr>
          <w:jc w:val="center"/>
        </w:trPr>
        <w:tc>
          <w:tcPr>
            <w:tcW w:w="9000" w:type="dxa"/>
            <w:shd w:val="clear" w:color="auto" w:fill="EAF4EE"/>
            <w:tcMar>
              <w:top w:w="90" w:type="dxa"/>
              <w:left w:w="100" w:type="dxa"/>
              <w:bottom w:w="90" w:type="dxa"/>
              <w:right w:w="100" w:type="dxa"/>
            </w:tcMar>
            <w:vAlign w:val="center"/>
          </w:tcPr>
          <w:p w14:paraId="4F5AE9F5" w14:textId="77777777" w:rsidR="00CD4596" w:rsidRDefault="00000000">
            <w:pPr>
              <w:spacing w:after="80"/>
            </w:pPr>
            <w:r>
              <w:rPr>
                <w:b/>
                <w:color w:val="075A2C"/>
                <w:sz w:val="17"/>
              </w:rPr>
              <w:t>COMMERCIAL LOGIC</w:t>
            </w:r>
          </w:p>
          <w:p w14:paraId="6DCE455A" w14:textId="64DD4F45" w:rsidR="00D608E9" w:rsidRDefault="00000000" w:rsidP="00D608E9">
            <w:pPr>
              <w:pStyle w:val="Callout"/>
            </w:pPr>
            <w:r>
              <w:t>Youth should be paid for clearly defined research, design, coordination, intellectual property, implementation support, operating services or performance—never merely for declaring a public benefit.</w:t>
            </w:r>
          </w:p>
        </w:tc>
      </w:tr>
    </w:tbl>
    <w:p w14:paraId="6D69E391" w14:textId="77777777" w:rsidR="00D608E9" w:rsidRDefault="00D608E9" w:rsidP="00D608E9"/>
    <w:p w14:paraId="1870C1F8" w14:textId="2E6D2E71" w:rsidR="00D608E9" w:rsidRDefault="00D608E9" w:rsidP="00D608E9">
      <w:r>
        <w:t xml:space="preserve">Youth is a </w:t>
      </w:r>
      <w:proofErr w:type="gramStart"/>
      <w:r>
        <w:t>private for-profit stewardship businesses</w:t>
      </w:r>
      <w:proofErr w:type="gramEnd"/>
      <w:r>
        <w:t xml:space="preserve"> that earns through </w:t>
      </w:r>
      <w:proofErr w:type="gramStart"/>
      <w:r>
        <w:t>it’s</w:t>
      </w:r>
      <w:proofErr w:type="gramEnd"/>
      <w:r>
        <w:t xml:space="preserve"> products and services to people, government, and businesses. It does not get investments nor donations. </w:t>
      </w:r>
      <w:proofErr w:type="gramStart"/>
      <w:r>
        <w:t>It’s</w:t>
      </w:r>
      <w:proofErr w:type="gramEnd"/>
      <w:r>
        <w:t xml:space="preserve"> sole purpose and vision is to actualize economic growth and development through </w:t>
      </w:r>
      <w:proofErr w:type="gramStart"/>
      <w:r>
        <w:t>it’s</w:t>
      </w:r>
      <w:proofErr w:type="gramEnd"/>
      <w:r>
        <w:t xml:space="preserve"> </w:t>
      </w:r>
      <w:proofErr w:type="gramStart"/>
      <w:r>
        <w:t>services,  it</w:t>
      </w:r>
      <w:proofErr w:type="gramEnd"/>
      <w:r>
        <w:t xml:space="preserve"> has taken the New Delta and growing </w:t>
      </w:r>
      <w:proofErr w:type="gramStart"/>
      <w:r>
        <w:t>it’s</w:t>
      </w:r>
      <w:proofErr w:type="gramEnd"/>
      <w:r>
        <w:t xml:space="preserve"> economic development and migration as </w:t>
      </w:r>
      <w:proofErr w:type="gramStart"/>
      <w:r>
        <w:t>it’s</w:t>
      </w:r>
      <w:proofErr w:type="gramEnd"/>
      <w:r>
        <w:t xml:space="preserve"> stewardship focus. This ensures that </w:t>
      </w:r>
      <w:proofErr w:type="gramStart"/>
      <w:r>
        <w:t>it’s</w:t>
      </w:r>
      <w:proofErr w:type="gramEnd"/>
      <w:r>
        <w:t xml:space="preserve"> interest is to achieve results, offer successful and reliable services and products, and actualize </w:t>
      </w:r>
      <w:proofErr w:type="gramStart"/>
      <w:r>
        <w:t>it’s</w:t>
      </w:r>
      <w:proofErr w:type="gramEnd"/>
      <w:r>
        <w:t xml:space="preserve"> economic ideas and development plans by prototyping it in the New Delta at small scales before adopting it if proven reliable. Youth is transparent and seeks to earn trust from institutions, businesses, and people who want to migrate to the first Egyptian frontier in the New Delta.</w:t>
      </w:r>
    </w:p>
    <w:p w14:paraId="06CED216" w14:textId="77777777" w:rsidR="00D608E9" w:rsidRDefault="00D608E9" w:rsidP="00D608E9"/>
    <w:p w14:paraId="5994EAE9" w14:textId="1936FBE3" w:rsidR="00CD4596" w:rsidRDefault="00000000">
      <w:pPr>
        <w:pStyle w:val="Heading2"/>
      </w:pPr>
      <w:proofErr w:type="gramStart"/>
      <w:r>
        <w:t>8.2  Youth’s</w:t>
      </w:r>
      <w:proofErr w:type="gramEnd"/>
      <w:r>
        <w:t xml:space="preserve"> proposed service architecture</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200"/>
        <w:gridCol w:w="4700"/>
        <w:gridCol w:w="2460"/>
      </w:tblGrid>
      <w:tr w:rsidR="00CD4596" w14:paraId="165601D5" w14:textId="77777777">
        <w:trPr>
          <w:tblHeader/>
          <w:jc w:val="center"/>
        </w:trPr>
        <w:tc>
          <w:tcPr>
            <w:tcW w:w="2200" w:type="dxa"/>
            <w:shd w:val="clear" w:color="auto" w:fill="075A2C"/>
            <w:tcMar>
              <w:top w:w="90" w:type="dxa"/>
              <w:left w:w="100" w:type="dxa"/>
              <w:bottom w:w="90" w:type="dxa"/>
              <w:right w:w="100" w:type="dxa"/>
            </w:tcMar>
            <w:vAlign w:val="center"/>
          </w:tcPr>
          <w:p w14:paraId="4104C2AA" w14:textId="77777777" w:rsidR="00CD4596" w:rsidRDefault="00000000">
            <w:r>
              <w:rPr>
                <w:b/>
                <w:color w:val="FFFFFF"/>
                <w:sz w:val="17"/>
              </w:rPr>
              <w:t>Service line</w:t>
            </w:r>
          </w:p>
        </w:tc>
        <w:tc>
          <w:tcPr>
            <w:tcW w:w="4700" w:type="dxa"/>
            <w:shd w:val="clear" w:color="auto" w:fill="075A2C"/>
            <w:tcMar>
              <w:top w:w="90" w:type="dxa"/>
              <w:left w:w="100" w:type="dxa"/>
              <w:bottom w:w="90" w:type="dxa"/>
              <w:right w:w="100" w:type="dxa"/>
            </w:tcMar>
            <w:vAlign w:val="center"/>
          </w:tcPr>
          <w:p w14:paraId="6EACBB50" w14:textId="77777777" w:rsidR="00CD4596" w:rsidRDefault="00000000">
            <w:r>
              <w:rPr>
                <w:b/>
                <w:color w:val="FFFFFF"/>
                <w:sz w:val="17"/>
              </w:rPr>
              <w:t>Deliverables</w:t>
            </w:r>
          </w:p>
        </w:tc>
        <w:tc>
          <w:tcPr>
            <w:tcW w:w="2460" w:type="dxa"/>
            <w:shd w:val="clear" w:color="auto" w:fill="075A2C"/>
            <w:tcMar>
              <w:top w:w="90" w:type="dxa"/>
              <w:left w:w="100" w:type="dxa"/>
              <w:bottom w:w="90" w:type="dxa"/>
              <w:right w:w="100" w:type="dxa"/>
            </w:tcMar>
            <w:vAlign w:val="center"/>
          </w:tcPr>
          <w:p w14:paraId="739AD7CE" w14:textId="77777777" w:rsidR="00CD4596" w:rsidRDefault="00000000">
            <w:r>
              <w:rPr>
                <w:b/>
                <w:color w:val="FFFFFF"/>
                <w:sz w:val="17"/>
              </w:rPr>
              <w:t>Typical client</w:t>
            </w:r>
          </w:p>
        </w:tc>
      </w:tr>
      <w:tr w:rsidR="00CD4596" w14:paraId="5F09052E" w14:textId="77777777">
        <w:trPr>
          <w:cantSplit/>
          <w:jc w:val="center"/>
        </w:trPr>
        <w:tc>
          <w:tcPr>
            <w:tcW w:w="2200" w:type="dxa"/>
          </w:tcPr>
          <w:p w14:paraId="7C9115ED" w14:textId="77777777" w:rsidR="00CD4596" w:rsidRDefault="00000000">
            <w:pPr>
              <w:pStyle w:val="TableText"/>
            </w:pPr>
            <w:r>
              <w:rPr>
                <w:b/>
                <w:color w:val="075A2C"/>
              </w:rPr>
              <w:t>Territorial diagnostics</w:t>
            </w:r>
          </w:p>
        </w:tc>
        <w:tc>
          <w:tcPr>
            <w:tcW w:w="4700" w:type="dxa"/>
          </w:tcPr>
          <w:p w14:paraId="65032539" w14:textId="77777777" w:rsidR="00CD4596" w:rsidRDefault="00000000">
            <w:pPr>
              <w:pStyle w:val="TableText"/>
            </w:pPr>
            <w:r>
              <w:t>Place baseline, constraints, productive habitat map, project and institution inventory.</w:t>
            </w:r>
          </w:p>
        </w:tc>
        <w:tc>
          <w:tcPr>
            <w:tcW w:w="2460" w:type="dxa"/>
          </w:tcPr>
          <w:p w14:paraId="44B7ECEC" w14:textId="77777777" w:rsidR="00CD4596" w:rsidRDefault="00000000">
            <w:pPr>
              <w:pStyle w:val="TableText"/>
            </w:pPr>
            <w:r>
              <w:t>Government, land developer, infrastructure investor</w:t>
            </w:r>
          </w:p>
        </w:tc>
      </w:tr>
      <w:tr w:rsidR="00CD4596" w14:paraId="6A29026C" w14:textId="77777777">
        <w:trPr>
          <w:cantSplit/>
          <w:jc w:val="center"/>
        </w:trPr>
        <w:tc>
          <w:tcPr>
            <w:tcW w:w="2200" w:type="dxa"/>
            <w:shd w:val="clear" w:color="auto" w:fill="F3F5F4"/>
          </w:tcPr>
          <w:p w14:paraId="7818A1AE" w14:textId="77777777" w:rsidR="00CD4596" w:rsidRDefault="00000000">
            <w:pPr>
              <w:pStyle w:val="TableText"/>
            </w:pPr>
            <w:r>
              <w:rPr>
                <w:b/>
                <w:color w:val="075A2C"/>
              </w:rPr>
              <w:t>Value-chain R&amp;D</w:t>
            </w:r>
          </w:p>
        </w:tc>
        <w:tc>
          <w:tcPr>
            <w:tcW w:w="4700" w:type="dxa"/>
            <w:shd w:val="clear" w:color="auto" w:fill="F3F5F4"/>
          </w:tcPr>
          <w:p w14:paraId="63FF8699" w14:textId="77777777" w:rsidR="00CD4596" w:rsidRDefault="00000000">
            <w:pPr>
              <w:pStyle w:val="TableText"/>
            </w:pPr>
            <w:r>
              <w:t>Chain map, demand, capability gaps, supplier strategy, FX and resource model.</w:t>
            </w:r>
          </w:p>
        </w:tc>
        <w:tc>
          <w:tcPr>
            <w:tcW w:w="2460" w:type="dxa"/>
            <w:shd w:val="clear" w:color="auto" w:fill="F3F5F4"/>
          </w:tcPr>
          <w:p w14:paraId="5CDB751F" w14:textId="77777777" w:rsidR="00CD4596" w:rsidRDefault="00000000">
            <w:pPr>
              <w:pStyle w:val="TableText"/>
            </w:pPr>
            <w:r>
              <w:t>Industrial, agriculture and investment clients</w:t>
            </w:r>
          </w:p>
        </w:tc>
      </w:tr>
      <w:tr w:rsidR="00CD4596" w14:paraId="1891EE5E" w14:textId="77777777">
        <w:trPr>
          <w:cantSplit/>
          <w:jc w:val="center"/>
        </w:trPr>
        <w:tc>
          <w:tcPr>
            <w:tcW w:w="2200" w:type="dxa"/>
          </w:tcPr>
          <w:p w14:paraId="424ED31C" w14:textId="77777777" w:rsidR="00CD4596" w:rsidRDefault="00000000">
            <w:pPr>
              <w:pStyle w:val="TableText"/>
            </w:pPr>
            <w:r>
              <w:rPr>
                <w:b/>
                <w:color w:val="075A2C"/>
              </w:rPr>
              <w:t>Portfolio and project design</w:t>
            </w:r>
          </w:p>
        </w:tc>
        <w:tc>
          <w:tcPr>
            <w:tcW w:w="4700" w:type="dxa"/>
          </w:tcPr>
          <w:p w14:paraId="6505A5E6" w14:textId="77777777" w:rsidR="00CD4596" w:rsidRDefault="00000000">
            <w:pPr>
              <w:pStyle w:val="TableText"/>
            </w:pPr>
            <w:r>
              <w:t>Concept portfolio, sequencing, feasibility scope, risk and operating architecture.</w:t>
            </w:r>
          </w:p>
        </w:tc>
        <w:tc>
          <w:tcPr>
            <w:tcW w:w="2460" w:type="dxa"/>
          </w:tcPr>
          <w:p w14:paraId="24BA4265" w14:textId="77777777" w:rsidR="00CD4596" w:rsidRDefault="00000000">
            <w:pPr>
              <w:pStyle w:val="TableText"/>
            </w:pPr>
            <w:r>
              <w:t>Public and private sponsors</w:t>
            </w:r>
          </w:p>
        </w:tc>
      </w:tr>
      <w:tr w:rsidR="00CD4596" w14:paraId="6C339882" w14:textId="77777777">
        <w:trPr>
          <w:cantSplit/>
          <w:jc w:val="center"/>
        </w:trPr>
        <w:tc>
          <w:tcPr>
            <w:tcW w:w="2200" w:type="dxa"/>
            <w:shd w:val="clear" w:color="auto" w:fill="F3F5F4"/>
          </w:tcPr>
          <w:p w14:paraId="31723F2D" w14:textId="77777777" w:rsidR="00CD4596" w:rsidRDefault="00000000">
            <w:pPr>
              <w:pStyle w:val="TableText"/>
            </w:pPr>
            <w:r>
              <w:rPr>
                <w:b/>
                <w:color w:val="075A2C"/>
              </w:rPr>
              <w:t>Economic instrument design</w:t>
            </w:r>
          </w:p>
        </w:tc>
        <w:tc>
          <w:tcPr>
            <w:tcW w:w="4700" w:type="dxa"/>
            <w:shd w:val="clear" w:color="auto" w:fill="F3F5F4"/>
          </w:tcPr>
          <w:p w14:paraId="06EE6F94" w14:textId="77777777" w:rsidR="00CD4596" w:rsidRDefault="00000000">
            <w:pPr>
              <w:pStyle w:val="TableText"/>
            </w:pPr>
            <w:r>
              <w:t>Incentives, supplier programs, finance vehicles, digital platforms and evaluation rules.</w:t>
            </w:r>
          </w:p>
        </w:tc>
        <w:tc>
          <w:tcPr>
            <w:tcW w:w="2460" w:type="dxa"/>
            <w:shd w:val="clear" w:color="auto" w:fill="F3F5F4"/>
          </w:tcPr>
          <w:p w14:paraId="043B2629" w14:textId="77777777" w:rsidR="00CD4596" w:rsidRDefault="00000000">
            <w:pPr>
              <w:pStyle w:val="TableText"/>
            </w:pPr>
            <w:r>
              <w:t>Policymakers, banks, development institutions</w:t>
            </w:r>
          </w:p>
        </w:tc>
      </w:tr>
      <w:tr w:rsidR="00CD4596" w14:paraId="45DA21E2" w14:textId="77777777">
        <w:trPr>
          <w:cantSplit/>
          <w:jc w:val="center"/>
        </w:trPr>
        <w:tc>
          <w:tcPr>
            <w:tcW w:w="2200" w:type="dxa"/>
          </w:tcPr>
          <w:p w14:paraId="126E941D" w14:textId="77777777" w:rsidR="00CD4596" w:rsidRDefault="00000000">
            <w:pPr>
              <w:pStyle w:val="TableText"/>
            </w:pPr>
            <w:r>
              <w:rPr>
                <w:b/>
                <w:color w:val="075A2C"/>
              </w:rPr>
              <w:t>Stewardship and integration</w:t>
            </w:r>
          </w:p>
        </w:tc>
        <w:tc>
          <w:tcPr>
            <w:tcW w:w="4700" w:type="dxa"/>
          </w:tcPr>
          <w:p w14:paraId="3734CAC4" w14:textId="77777777" w:rsidR="00CD4596" w:rsidRDefault="00000000">
            <w:pPr>
              <w:pStyle w:val="TableText"/>
            </w:pPr>
            <w:r>
              <w:t>Program office, specialist coordination, design assurance, data and milestone governance.</w:t>
            </w:r>
          </w:p>
        </w:tc>
        <w:tc>
          <w:tcPr>
            <w:tcW w:w="2460" w:type="dxa"/>
          </w:tcPr>
          <w:p w14:paraId="7F539DD0" w14:textId="77777777" w:rsidR="00CD4596" w:rsidRDefault="00000000">
            <w:pPr>
              <w:pStyle w:val="TableText"/>
            </w:pPr>
            <w:r>
              <w:t>Large multi-party developments</w:t>
            </w:r>
          </w:p>
        </w:tc>
      </w:tr>
      <w:tr w:rsidR="00CD4596" w14:paraId="4A2C8E01" w14:textId="77777777">
        <w:trPr>
          <w:cantSplit/>
          <w:jc w:val="center"/>
        </w:trPr>
        <w:tc>
          <w:tcPr>
            <w:tcW w:w="2200" w:type="dxa"/>
            <w:shd w:val="clear" w:color="auto" w:fill="F3F5F4"/>
          </w:tcPr>
          <w:p w14:paraId="5C52B58A" w14:textId="77777777" w:rsidR="00CD4596" w:rsidRDefault="00000000">
            <w:pPr>
              <w:pStyle w:val="TableText"/>
            </w:pPr>
            <w:r>
              <w:rPr>
                <w:b/>
                <w:color w:val="075A2C"/>
              </w:rPr>
              <w:t>Monitoring and learning</w:t>
            </w:r>
          </w:p>
        </w:tc>
        <w:tc>
          <w:tcPr>
            <w:tcW w:w="4700" w:type="dxa"/>
            <w:shd w:val="clear" w:color="auto" w:fill="F3F5F4"/>
          </w:tcPr>
          <w:p w14:paraId="6C0B5230" w14:textId="77777777" w:rsidR="00CD4596" w:rsidRDefault="00000000">
            <w:pPr>
              <w:pStyle w:val="TableText"/>
            </w:pPr>
            <w:r>
              <w:t>Baseline, dashboard, independent evaluation interface, lessons and scale/stop recommendations.</w:t>
            </w:r>
          </w:p>
        </w:tc>
        <w:tc>
          <w:tcPr>
            <w:tcW w:w="2460" w:type="dxa"/>
            <w:shd w:val="clear" w:color="auto" w:fill="F3F5F4"/>
          </w:tcPr>
          <w:p w14:paraId="095CDA3A" w14:textId="77777777" w:rsidR="00CD4596" w:rsidRDefault="00000000">
            <w:pPr>
              <w:pStyle w:val="TableText"/>
            </w:pPr>
            <w:r>
              <w:t>Sponsors, investors and public authorities</w:t>
            </w:r>
          </w:p>
        </w:tc>
      </w:tr>
      <w:tr w:rsidR="00C53859" w14:paraId="389BDF8C" w14:textId="77777777" w:rsidTr="00C53859">
        <w:trPr>
          <w:cantSplit/>
          <w:jc w:val="center"/>
        </w:trPr>
        <w:tc>
          <w:tcPr>
            <w:tcW w:w="2200" w:type="dxa"/>
            <w:shd w:val="clear" w:color="auto" w:fill="FFFFFF" w:themeFill="background1"/>
          </w:tcPr>
          <w:p w14:paraId="2FB5BCF0" w14:textId="19E32DF3" w:rsidR="00C53859" w:rsidRDefault="00C53859" w:rsidP="00C53859">
            <w:pPr>
              <w:pStyle w:val="TableText"/>
              <w:rPr>
                <w:b/>
                <w:color w:val="075A2C"/>
              </w:rPr>
            </w:pPr>
            <w:r>
              <w:rPr>
                <w:b/>
                <w:color w:val="075A2C"/>
              </w:rPr>
              <w:lastRenderedPageBreak/>
              <w:t>Business</w:t>
            </w:r>
            <w:r>
              <w:rPr>
                <w:b/>
                <w:color w:val="075A2C"/>
              </w:rPr>
              <w:t xml:space="preserve"> Development</w:t>
            </w:r>
          </w:p>
        </w:tc>
        <w:tc>
          <w:tcPr>
            <w:tcW w:w="4700" w:type="dxa"/>
            <w:shd w:val="clear" w:color="auto" w:fill="FFFFFF" w:themeFill="background1"/>
          </w:tcPr>
          <w:p w14:paraId="6A1E038C" w14:textId="5542D404" w:rsidR="00C53859" w:rsidRDefault="00C53859" w:rsidP="00C53859">
            <w:pPr>
              <w:pStyle w:val="TableText"/>
            </w:pPr>
            <w:r>
              <w:t xml:space="preserve">Research &amp; Development in Certain Fields by Youth to provide an effective and comprehensive business plan or joint business venture that businesses can participate in. Youth </w:t>
            </w:r>
            <w:proofErr w:type="gramStart"/>
            <w:r>
              <w:t>gathers</w:t>
            </w:r>
            <w:proofErr w:type="gramEnd"/>
            <w:r>
              <w:t xml:space="preserve"> businesses wanting to invest in their own growth and </w:t>
            </w:r>
            <w:proofErr w:type="gramStart"/>
            <w:r>
              <w:t>offers</w:t>
            </w:r>
            <w:proofErr w:type="gramEnd"/>
            <w:r>
              <w:t xml:space="preserve"> government economic development plans.</w:t>
            </w:r>
            <w:r w:rsidR="00D608E9">
              <w:t xml:space="preserve"> </w:t>
            </w:r>
          </w:p>
        </w:tc>
        <w:tc>
          <w:tcPr>
            <w:tcW w:w="2460" w:type="dxa"/>
            <w:shd w:val="clear" w:color="auto" w:fill="FFFFFF" w:themeFill="background1"/>
          </w:tcPr>
          <w:p w14:paraId="1C7B1330" w14:textId="35692DD8" w:rsidR="00C53859" w:rsidRDefault="00C53859" w:rsidP="00C53859">
            <w:pPr>
              <w:pStyle w:val="TableText"/>
            </w:pPr>
            <w:r>
              <w:t>Entrepreneurs, SME Businesses, Egyptian Major Businesses, Government Bodies</w:t>
            </w:r>
          </w:p>
        </w:tc>
      </w:tr>
    </w:tbl>
    <w:p w14:paraId="2A509947" w14:textId="77777777" w:rsidR="00CD4596" w:rsidRDefault="00000000">
      <w:pPr>
        <w:pStyle w:val="Heading2"/>
      </w:pPr>
      <w:proofErr w:type="gramStart"/>
      <w:r>
        <w:t>8.3  The</w:t>
      </w:r>
      <w:proofErr w:type="gramEnd"/>
      <w:r>
        <w:t xml:space="preserve"> commercial economist</w:t>
      </w:r>
    </w:p>
    <w:p w14:paraId="7114F542" w14:textId="3283BB45" w:rsidR="00CD4596" w:rsidRDefault="00000000">
      <w:pPr>
        <w:pStyle w:val="BodyText"/>
      </w:pPr>
      <w:r>
        <w:t xml:space="preserve">The commercial economist is a systems integrator with enough fluency to work across economics, business, finance, engineering, agriculture, construction, logistics, law, health and public administration. The role requires intellectual humility: breadth helps formulate questions, but specialists remain accountable for specialist </w:t>
      </w:r>
      <w:proofErr w:type="gramStart"/>
      <w:r>
        <w:t>judgments</w:t>
      </w:r>
      <w:proofErr w:type="gramEnd"/>
      <w:r w:rsidR="008D6F9C">
        <w:t xml:space="preserve"> and it is left to them</w:t>
      </w:r>
      <w:r>
        <w:t xml:space="preserve">. </w:t>
      </w:r>
      <w:r w:rsidR="008D6F9C">
        <w:t xml:space="preserve">The Commercial Economist determines the town needs apartments, stores, houses, designs warehousing, designs road for traffic, plans zones in town, and more while the engineer is the one who is responsible for the engineering and construction details. Both work together to create something successful. </w:t>
      </w:r>
      <w:r>
        <w:t>Youth should maintain formal sign-off matrices showing which conclusions are economic, technical, legal, environmental, medical or financial.</w:t>
      </w:r>
    </w:p>
    <w:p w14:paraId="4C11D538" w14:textId="77777777" w:rsidR="00CD4596" w:rsidRDefault="00000000">
      <w:pPr>
        <w:pStyle w:val="Heading2"/>
      </w:pPr>
      <w:proofErr w:type="gramStart"/>
      <w:r>
        <w:t>8.4  A</w:t>
      </w:r>
      <w:proofErr w:type="gramEnd"/>
      <w:r>
        <w:t xml:space="preserve"> project team by decision, not by prestige</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700"/>
        <w:gridCol w:w="6660"/>
      </w:tblGrid>
      <w:tr w:rsidR="00CD4596" w14:paraId="788ABE16" w14:textId="77777777">
        <w:trPr>
          <w:tblHeader/>
          <w:jc w:val="center"/>
        </w:trPr>
        <w:tc>
          <w:tcPr>
            <w:tcW w:w="2700" w:type="dxa"/>
            <w:shd w:val="clear" w:color="auto" w:fill="075A2C"/>
            <w:tcMar>
              <w:top w:w="90" w:type="dxa"/>
              <w:left w:w="100" w:type="dxa"/>
              <w:bottom w:w="90" w:type="dxa"/>
              <w:right w:w="100" w:type="dxa"/>
            </w:tcMar>
            <w:vAlign w:val="center"/>
          </w:tcPr>
          <w:p w14:paraId="632DA314" w14:textId="77777777" w:rsidR="00CD4596" w:rsidRDefault="00000000">
            <w:r>
              <w:rPr>
                <w:b/>
                <w:color w:val="FFFFFF"/>
                <w:sz w:val="18"/>
              </w:rPr>
              <w:t>Decision domain</w:t>
            </w:r>
          </w:p>
        </w:tc>
        <w:tc>
          <w:tcPr>
            <w:tcW w:w="6660" w:type="dxa"/>
            <w:shd w:val="clear" w:color="auto" w:fill="075A2C"/>
            <w:tcMar>
              <w:top w:w="90" w:type="dxa"/>
              <w:left w:w="100" w:type="dxa"/>
              <w:bottom w:w="90" w:type="dxa"/>
              <w:right w:w="100" w:type="dxa"/>
            </w:tcMar>
            <w:vAlign w:val="center"/>
          </w:tcPr>
          <w:p w14:paraId="68D61905" w14:textId="77777777" w:rsidR="00CD4596" w:rsidRDefault="00000000">
            <w:r>
              <w:rPr>
                <w:b/>
                <w:color w:val="FFFFFF"/>
                <w:sz w:val="18"/>
              </w:rPr>
              <w:t>Required competence</w:t>
            </w:r>
          </w:p>
        </w:tc>
      </w:tr>
      <w:tr w:rsidR="00CD4596" w14:paraId="05366EBB" w14:textId="77777777">
        <w:trPr>
          <w:cantSplit/>
          <w:jc w:val="center"/>
        </w:trPr>
        <w:tc>
          <w:tcPr>
            <w:tcW w:w="2700" w:type="dxa"/>
          </w:tcPr>
          <w:p w14:paraId="7DAB5A0F" w14:textId="77777777" w:rsidR="00CD4596" w:rsidRDefault="00000000">
            <w:pPr>
              <w:pStyle w:val="TableText"/>
            </w:pPr>
            <w:r>
              <w:rPr>
                <w:b/>
                <w:color w:val="075A2C"/>
              </w:rPr>
              <w:t>System and economics</w:t>
            </w:r>
          </w:p>
        </w:tc>
        <w:tc>
          <w:tcPr>
            <w:tcW w:w="6660" w:type="dxa"/>
          </w:tcPr>
          <w:p w14:paraId="31AAEC42" w14:textId="77777777" w:rsidR="00CD4596" w:rsidRDefault="00000000">
            <w:pPr>
              <w:pStyle w:val="TableText"/>
            </w:pPr>
            <w:r>
              <w:t>Commercial economist, development economist, regional planner, data analyst.</w:t>
            </w:r>
          </w:p>
        </w:tc>
      </w:tr>
      <w:tr w:rsidR="00CD4596" w14:paraId="4A8D86AC" w14:textId="77777777">
        <w:trPr>
          <w:cantSplit/>
          <w:jc w:val="center"/>
        </w:trPr>
        <w:tc>
          <w:tcPr>
            <w:tcW w:w="2700" w:type="dxa"/>
            <w:shd w:val="clear" w:color="auto" w:fill="F3F5F4"/>
          </w:tcPr>
          <w:p w14:paraId="1442ABBE" w14:textId="77777777" w:rsidR="00CD4596" w:rsidRDefault="00000000">
            <w:pPr>
              <w:pStyle w:val="TableText"/>
            </w:pPr>
            <w:r>
              <w:rPr>
                <w:b/>
                <w:color w:val="075A2C"/>
              </w:rPr>
              <w:t>Market and enterprise</w:t>
            </w:r>
          </w:p>
        </w:tc>
        <w:tc>
          <w:tcPr>
            <w:tcW w:w="6660" w:type="dxa"/>
            <w:shd w:val="clear" w:color="auto" w:fill="F3F5F4"/>
          </w:tcPr>
          <w:p w14:paraId="5CC34727" w14:textId="77777777" w:rsidR="00CD4596" w:rsidRDefault="00000000">
            <w:pPr>
              <w:pStyle w:val="TableText"/>
            </w:pPr>
            <w:r>
              <w:t>Sector operator, customer researcher, supply-chain specialist, commercial adviser.</w:t>
            </w:r>
          </w:p>
        </w:tc>
      </w:tr>
      <w:tr w:rsidR="00CD4596" w14:paraId="1EB4A6CC" w14:textId="77777777">
        <w:trPr>
          <w:cantSplit/>
          <w:jc w:val="center"/>
        </w:trPr>
        <w:tc>
          <w:tcPr>
            <w:tcW w:w="2700" w:type="dxa"/>
          </w:tcPr>
          <w:p w14:paraId="327456B7" w14:textId="77777777" w:rsidR="00CD4596" w:rsidRDefault="00000000">
            <w:pPr>
              <w:pStyle w:val="TableText"/>
            </w:pPr>
            <w:r>
              <w:rPr>
                <w:b/>
                <w:color w:val="075A2C"/>
              </w:rPr>
              <w:t>Technical</w:t>
            </w:r>
          </w:p>
        </w:tc>
        <w:tc>
          <w:tcPr>
            <w:tcW w:w="6660" w:type="dxa"/>
          </w:tcPr>
          <w:p w14:paraId="342F8957" w14:textId="77777777" w:rsidR="00CD4596" w:rsidRDefault="00000000">
            <w:pPr>
              <w:pStyle w:val="TableText"/>
            </w:pPr>
            <w:r>
              <w:t>Relevant engineers, agronomists, architects, clinicians, scientists and operators.</w:t>
            </w:r>
          </w:p>
        </w:tc>
      </w:tr>
      <w:tr w:rsidR="00CD4596" w14:paraId="78B4B15D" w14:textId="77777777">
        <w:trPr>
          <w:cantSplit/>
          <w:jc w:val="center"/>
        </w:trPr>
        <w:tc>
          <w:tcPr>
            <w:tcW w:w="2700" w:type="dxa"/>
            <w:shd w:val="clear" w:color="auto" w:fill="F3F5F4"/>
          </w:tcPr>
          <w:p w14:paraId="136FB1EF" w14:textId="77777777" w:rsidR="00CD4596" w:rsidRDefault="00000000">
            <w:pPr>
              <w:pStyle w:val="TableText"/>
            </w:pPr>
            <w:r>
              <w:rPr>
                <w:b/>
                <w:color w:val="075A2C"/>
              </w:rPr>
              <w:t>Capital</w:t>
            </w:r>
          </w:p>
        </w:tc>
        <w:tc>
          <w:tcPr>
            <w:tcW w:w="6660" w:type="dxa"/>
            <w:shd w:val="clear" w:color="auto" w:fill="F3F5F4"/>
          </w:tcPr>
          <w:p w14:paraId="3F09DECA" w14:textId="77777777" w:rsidR="00CD4596" w:rsidRDefault="00000000">
            <w:pPr>
              <w:pStyle w:val="TableText"/>
            </w:pPr>
            <w:r>
              <w:t>Corporate finance, project finance, accounting, tax, insurance and risk.</w:t>
            </w:r>
          </w:p>
        </w:tc>
      </w:tr>
      <w:tr w:rsidR="00CD4596" w14:paraId="3BC877DA" w14:textId="77777777">
        <w:trPr>
          <w:cantSplit/>
          <w:jc w:val="center"/>
        </w:trPr>
        <w:tc>
          <w:tcPr>
            <w:tcW w:w="2700" w:type="dxa"/>
          </w:tcPr>
          <w:p w14:paraId="47052FA6" w14:textId="77777777" w:rsidR="00CD4596" w:rsidRDefault="00000000">
            <w:pPr>
              <w:pStyle w:val="TableText"/>
            </w:pPr>
            <w:r>
              <w:rPr>
                <w:b/>
                <w:color w:val="075A2C"/>
              </w:rPr>
              <w:t>Public and legal</w:t>
            </w:r>
          </w:p>
        </w:tc>
        <w:tc>
          <w:tcPr>
            <w:tcW w:w="6660" w:type="dxa"/>
          </w:tcPr>
          <w:p w14:paraId="2D01DEAE" w14:textId="77777777" w:rsidR="00CD4596" w:rsidRDefault="00000000">
            <w:pPr>
              <w:pStyle w:val="TableText"/>
            </w:pPr>
            <w:r>
              <w:t>Public administration, regulatory, procurement, land, competition and environmental counsel.</w:t>
            </w:r>
          </w:p>
        </w:tc>
      </w:tr>
      <w:tr w:rsidR="00CD4596" w14:paraId="567B8940" w14:textId="77777777">
        <w:trPr>
          <w:cantSplit/>
          <w:jc w:val="center"/>
        </w:trPr>
        <w:tc>
          <w:tcPr>
            <w:tcW w:w="2700" w:type="dxa"/>
            <w:shd w:val="clear" w:color="auto" w:fill="F3F5F4"/>
          </w:tcPr>
          <w:p w14:paraId="14AABA58" w14:textId="77777777" w:rsidR="00CD4596" w:rsidRDefault="00000000">
            <w:pPr>
              <w:pStyle w:val="TableText"/>
            </w:pPr>
            <w:r>
              <w:rPr>
                <w:b/>
                <w:color w:val="075A2C"/>
              </w:rPr>
              <w:t>People and place</w:t>
            </w:r>
          </w:p>
        </w:tc>
        <w:tc>
          <w:tcPr>
            <w:tcW w:w="6660" w:type="dxa"/>
            <w:shd w:val="clear" w:color="auto" w:fill="F3F5F4"/>
          </w:tcPr>
          <w:p w14:paraId="74BB74C4" w14:textId="77777777" w:rsidR="00CD4596" w:rsidRDefault="00000000">
            <w:pPr>
              <w:pStyle w:val="TableText"/>
            </w:pPr>
            <w:r>
              <w:t>Labor, housing, mobility, education, public health, social and community specialists.</w:t>
            </w:r>
          </w:p>
        </w:tc>
      </w:tr>
    </w:tbl>
    <w:p w14:paraId="5FDF38F4" w14:textId="36D25601" w:rsidR="00472578" w:rsidRDefault="00472578" w:rsidP="00472578">
      <w:pPr>
        <w:pStyle w:val="ListBullet"/>
        <w:numPr>
          <w:ilvl w:val="0"/>
          <w:numId w:val="0"/>
        </w:numPr>
        <w:ind w:left="360" w:hanging="360"/>
      </w:pPr>
    </w:p>
    <w:p w14:paraId="589143AB" w14:textId="11C09E84" w:rsidR="00472578" w:rsidRDefault="00472578" w:rsidP="00472578">
      <w:pPr>
        <w:pStyle w:val="Heading2"/>
      </w:pPr>
      <w:r>
        <w:t>8.5 Decentralized Economic Development Model</w:t>
      </w:r>
    </w:p>
    <w:p w14:paraId="516C8F58" w14:textId="77777777" w:rsidR="00472578" w:rsidRDefault="00472578" w:rsidP="00472578">
      <w:pPr>
        <w:pStyle w:val="ListBullet"/>
        <w:numPr>
          <w:ilvl w:val="0"/>
          <w:numId w:val="0"/>
        </w:numPr>
        <w:ind w:left="360" w:hanging="360"/>
      </w:pPr>
    </w:p>
    <w:p w14:paraId="17A0AD89" w14:textId="77777777" w:rsidR="00472578" w:rsidRDefault="00472578" w:rsidP="00472578">
      <w:pPr>
        <w:pStyle w:val="ListBullet"/>
        <w:numPr>
          <w:ilvl w:val="0"/>
          <w:numId w:val="0"/>
        </w:numPr>
        <w:ind w:left="360" w:hanging="360"/>
      </w:pPr>
    </w:p>
    <w:p w14:paraId="071DD9FD" w14:textId="77777777" w:rsidR="00CD4596" w:rsidRDefault="00000000">
      <w:pPr>
        <w:pStyle w:val="Heading1"/>
        <w:pageBreakBefore/>
        <w:pBdr>
          <w:bottom w:val="single" w:sz="6" w:space="6" w:color="CFE5D7"/>
        </w:pBdr>
      </w:pPr>
      <w:proofErr w:type="gramStart"/>
      <w:r>
        <w:rPr>
          <w:color w:val="2F7D52"/>
        </w:rPr>
        <w:lastRenderedPageBreak/>
        <w:t xml:space="preserve">09  </w:t>
      </w:r>
      <w:r>
        <w:t>Risks</w:t>
      </w:r>
      <w:proofErr w:type="gramEnd"/>
      <w:r>
        <w:t>, safeguards and research agenda</w:t>
      </w:r>
    </w:p>
    <w:p w14:paraId="1F407157" w14:textId="77777777" w:rsidR="00CD4596" w:rsidRDefault="00000000">
      <w:pPr>
        <w:pStyle w:val="ChapterSubtitle"/>
      </w:pPr>
      <w:r>
        <w:t>The strongest version of Commercial Economics is defined as much by its controls as by its ambitions.</w:t>
      </w:r>
    </w:p>
    <w:p w14:paraId="0648D373" w14:textId="77777777" w:rsidR="00CD4596" w:rsidRDefault="00000000">
      <w:pPr>
        <w:pStyle w:val="Heading2"/>
      </w:pPr>
      <w:proofErr w:type="gramStart"/>
      <w:r>
        <w:t>9.1  Principal</w:t>
      </w:r>
      <w:proofErr w:type="gramEnd"/>
      <w:r>
        <w:t xml:space="preserve"> risks</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100"/>
        <w:gridCol w:w="4000"/>
        <w:gridCol w:w="3260"/>
      </w:tblGrid>
      <w:tr w:rsidR="00CD4596" w14:paraId="0CB8E5F8" w14:textId="77777777">
        <w:trPr>
          <w:tblHeader/>
          <w:jc w:val="center"/>
        </w:trPr>
        <w:tc>
          <w:tcPr>
            <w:tcW w:w="2100" w:type="dxa"/>
            <w:shd w:val="clear" w:color="auto" w:fill="075A2C"/>
            <w:tcMar>
              <w:top w:w="90" w:type="dxa"/>
              <w:left w:w="100" w:type="dxa"/>
              <w:bottom w:w="90" w:type="dxa"/>
              <w:right w:w="100" w:type="dxa"/>
            </w:tcMar>
            <w:vAlign w:val="center"/>
          </w:tcPr>
          <w:p w14:paraId="32E4A923" w14:textId="77777777" w:rsidR="00CD4596" w:rsidRDefault="00000000">
            <w:r>
              <w:rPr>
                <w:b/>
                <w:color w:val="FFFFFF"/>
                <w:sz w:val="17"/>
              </w:rPr>
              <w:t>Risk</w:t>
            </w:r>
          </w:p>
        </w:tc>
        <w:tc>
          <w:tcPr>
            <w:tcW w:w="4000" w:type="dxa"/>
            <w:shd w:val="clear" w:color="auto" w:fill="075A2C"/>
            <w:tcMar>
              <w:top w:w="90" w:type="dxa"/>
              <w:left w:w="100" w:type="dxa"/>
              <w:bottom w:w="90" w:type="dxa"/>
              <w:right w:w="100" w:type="dxa"/>
            </w:tcMar>
            <w:vAlign w:val="center"/>
          </w:tcPr>
          <w:p w14:paraId="09396CB3" w14:textId="77777777" w:rsidR="00CD4596" w:rsidRDefault="00000000">
            <w:r>
              <w:rPr>
                <w:b/>
                <w:color w:val="FFFFFF"/>
                <w:sz w:val="17"/>
              </w:rPr>
              <w:t>How it appears</w:t>
            </w:r>
          </w:p>
        </w:tc>
        <w:tc>
          <w:tcPr>
            <w:tcW w:w="3260" w:type="dxa"/>
            <w:shd w:val="clear" w:color="auto" w:fill="075A2C"/>
            <w:tcMar>
              <w:top w:w="90" w:type="dxa"/>
              <w:left w:w="100" w:type="dxa"/>
              <w:bottom w:w="90" w:type="dxa"/>
              <w:right w:w="100" w:type="dxa"/>
            </w:tcMar>
            <w:vAlign w:val="center"/>
          </w:tcPr>
          <w:p w14:paraId="7B0BBF5A" w14:textId="77777777" w:rsidR="00CD4596" w:rsidRDefault="00000000">
            <w:r>
              <w:rPr>
                <w:b/>
                <w:color w:val="FFFFFF"/>
                <w:sz w:val="17"/>
              </w:rPr>
              <w:t>Safeguard</w:t>
            </w:r>
          </w:p>
        </w:tc>
      </w:tr>
      <w:tr w:rsidR="00CD4596" w14:paraId="7DFCC85B" w14:textId="77777777">
        <w:trPr>
          <w:cantSplit/>
          <w:jc w:val="center"/>
        </w:trPr>
        <w:tc>
          <w:tcPr>
            <w:tcW w:w="2100" w:type="dxa"/>
          </w:tcPr>
          <w:p w14:paraId="2C5B21C1" w14:textId="77777777" w:rsidR="00CD4596" w:rsidRDefault="00000000">
            <w:pPr>
              <w:pStyle w:val="TableText"/>
            </w:pPr>
            <w:r>
              <w:rPr>
                <w:b/>
                <w:color w:val="075A2C"/>
              </w:rPr>
              <w:t>Grand-design overreach</w:t>
            </w:r>
          </w:p>
        </w:tc>
        <w:tc>
          <w:tcPr>
            <w:tcW w:w="4000" w:type="dxa"/>
          </w:tcPr>
          <w:p w14:paraId="3F2AA79B" w14:textId="77777777" w:rsidR="00CD4596" w:rsidRDefault="00000000">
            <w:pPr>
              <w:pStyle w:val="TableText"/>
            </w:pPr>
            <w:proofErr w:type="gramStart"/>
            <w:r>
              <w:t>A comprehensive</w:t>
            </w:r>
            <w:proofErr w:type="gramEnd"/>
            <w:r>
              <w:t xml:space="preserve"> vision becomes a reason to launch too many dependent projects at once.</w:t>
            </w:r>
          </w:p>
        </w:tc>
        <w:tc>
          <w:tcPr>
            <w:tcW w:w="3260" w:type="dxa"/>
          </w:tcPr>
          <w:p w14:paraId="626CAB84" w14:textId="77777777" w:rsidR="00CD4596" w:rsidRDefault="00000000">
            <w:pPr>
              <w:pStyle w:val="TableText"/>
            </w:pPr>
            <w:r>
              <w:t>Modular phasing, independent demand anchors and stop/go gates.</w:t>
            </w:r>
          </w:p>
        </w:tc>
      </w:tr>
      <w:tr w:rsidR="00CD4596" w14:paraId="3FDAC396" w14:textId="77777777">
        <w:trPr>
          <w:cantSplit/>
          <w:jc w:val="center"/>
        </w:trPr>
        <w:tc>
          <w:tcPr>
            <w:tcW w:w="2100" w:type="dxa"/>
            <w:shd w:val="clear" w:color="auto" w:fill="F3F5F4"/>
          </w:tcPr>
          <w:p w14:paraId="659F505B" w14:textId="77777777" w:rsidR="00CD4596" w:rsidRDefault="00000000">
            <w:pPr>
              <w:pStyle w:val="TableText"/>
            </w:pPr>
            <w:r>
              <w:rPr>
                <w:b/>
                <w:color w:val="075A2C"/>
              </w:rPr>
              <w:t>Selection error</w:t>
            </w:r>
          </w:p>
        </w:tc>
        <w:tc>
          <w:tcPr>
            <w:tcW w:w="4000" w:type="dxa"/>
            <w:shd w:val="clear" w:color="auto" w:fill="F3F5F4"/>
          </w:tcPr>
          <w:p w14:paraId="2BDA924B" w14:textId="77777777" w:rsidR="00CD4596" w:rsidRDefault="00000000">
            <w:pPr>
              <w:pStyle w:val="TableText"/>
            </w:pPr>
            <w:r>
              <w:t>Sponsors choose fashionable sectors without customer or capability evidence.</w:t>
            </w:r>
          </w:p>
        </w:tc>
        <w:tc>
          <w:tcPr>
            <w:tcW w:w="3260" w:type="dxa"/>
            <w:shd w:val="clear" w:color="auto" w:fill="F3F5F4"/>
          </w:tcPr>
          <w:p w14:paraId="7B2B1BE9" w14:textId="77777777" w:rsidR="00CD4596" w:rsidRDefault="00000000">
            <w:pPr>
              <w:pStyle w:val="TableText"/>
            </w:pPr>
            <w:r>
              <w:t>Open screening, market tests, counterfactuals and specialist review.</w:t>
            </w:r>
          </w:p>
        </w:tc>
      </w:tr>
      <w:tr w:rsidR="00CD4596" w14:paraId="23460608" w14:textId="77777777">
        <w:trPr>
          <w:cantSplit/>
          <w:jc w:val="center"/>
        </w:trPr>
        <w:tc>
          <w:tcPr>
            <w:tcW w:w="2100" w:type="dxa"/>
          </w:tcPr>
          <w:p w14:paraId="468E3AC4" w14:textId="77777777" w:rsidR="00CD4596" w:rsidRDefault="00000000">
            <w:pPr>
              <w:pStyle w:val="TableText"/>
            </w:pPr>
            <w:r>
              <w:rPr>
                <w:b/>
                <w:color w:val="075A2C"/>
              </w:rPr>
              <w:t>Capture and concentration</w:t>
            </w:r>
          </w:p>
        </w:tc>
        <w:tc>
          <w:tcPr>
            <w:tcW w:w="4000" w:type="dxa"/>
          </w:tcPr>
          <w:p w14:paraId="597152E9" w14:textId="77777777" w:rsidR="00CD4596" w:rsidRDefault="00000000">
            <w:pPr>
              <w:pStyle w:val="TableText"/>
            </w:pPr>
            <w:r>
              <w:t>Support is allocated to connected firms or entrenches monopoly.</w:t>
            </w:r>
          </w:p>
        </w:tc>
        <w:tc>
          <w:tcPr>
            <w:tcW w:w="3260" w:type="dxa"/>
          </w:tcPr>
          <w:p w14:paraId="6B868916" w14:textId="77777777" w:rsidR="00CD4596" w:rsidRDefault="00000000">
            <w:pPr>
              <w:pStyle w:val="TableText"/>
            </w:pPr>
            <w:r>
              <w:t>Transparent criteria, competition policy, disclosure and periodic rebidding.</w:t>
            </w:r>
          </w:p>
        </w:tc>
      </w:tr>
      <w:tr w:rsidR="00CD4596" w14:paraId="37AEBCF2" w14:textId="77777777">
        <w:trPr>
          <w:cantSplit/>
          <w:jc w:val="center"/>
        </w:trPr>
        <w:tc>
          <w:tcPr>
            <w:tcW w:w="2100" w:type="dxa"/>
            <w:shd w:val="clear" w:color="auto" w:fill="F3F5F4"/>
          </w:tcPr>
          <w:p w14:paraId="50623041" w14:textId="77777777" w:rsidR="00CD4596" w:rsidRDefault="00000000">
            <w:pPr>
              <w:pStyle w:val="TableText"/>
            </w:pPr>
            <w:r>
              <w:rPr>
                <w:b/>
                <w:color w:val="075A2C"/>
              </w:rPr>
              <w:t>Fiscal and debt stress</w:t>
            </w:r>
          </w:p>
        </w:tc>
        <w:tc>
          <w:tcPr>
            <w:tcW w:w="4000" w:type="dxa"/>
            <w:shd w:val="clear" w:color="auto" w:fill="F3F5F4"/>
          </w:tcPr>
          <w:p w14:paraId="61E2152A" w14:textId="77777777" w:rsidR="00CD4596" w:rsidRDefault="00000000">
            <w:pPr>
              <w:pStyle w:val="TableText"/>
            </w:pPr>
            <w:r>
              <w:t>Public guarantees or availability payments exceed realistic capacity.</w:t>
            </w:r>
          </w:p>
        </w:tc>
        <w:tc>
          <w:tcPr>
            <w:tcW w:w="3260" w:type="dxa"/>
            <w:shd w:val="clear" w:color="auto" w:fill="F3F5F4"/>
          </w:tcPr>
          <w:p w14:paraId="3952C726" w14:textId="77777777" w:rsidR="00CD4596" w:rsidRDefault="00000000">
            <w:pPr>
              <w:pStyle w:val="TableText"/>
            </w:pPr>
            <w:r>
              <w:t>Whole-life fiscal model, caps, stress tests and publication of contingent liabilities.</w:t>
            </w:r>
          </w:p>
        </w:tc>
      </w:tr>
      <w:tr w:rsidR="00CD4596" w14:paraId="2C0D5ED7" w14:textId="77777777">
        <w:trPr>
          <w:cantSplit/>
          <w:jc w:val="center"/>
        </w:trPr>
        <w:tc>
          <w:tcPr>
            <w:tcW w:w="2100" w:type="dxa"/>
          </w:tcPr>
          <w:p w14:paraId="459355F9" w14:textId="77777777" w:rsidR="00CD4596" w:rsidRDefault="00000000">
            <w:pPr>
              <w:pStyle w:val="TableText"/>
            </w:pPr>
            <w:r>
              <w:rPr>
                <w:b/>
                <w:color w:val="075A2C"/>
              </w:rPr>
              <w:t>Foreign-exchange mismatch</w:t>
            </w:r>
          </w:p>
        </w:tc>
        <w:tc>
          <w:tcPr>
            <w:tcW w:w="4000" w:type="dxa"/>
          </w:tcPr>
          <w:p w14:paraId="405604ED" w14:textId="77777777" w:rsidR="00CD4596" w:rsidRDefault="00000000">
            <w:pPr>
              <w:pStyle w:val="TableText"/>
            </w:pPr>
            <w:r>
              <w:t>Imported capex and inputs arrive before sustainable FX earnings.</w:t>
            </w:r>
          </w:p>
        </w:tc>
        <w:tc>
          <w:tcPr>
            <w:tcW w:w="3260" w:type="dxa"/>
          </w:tcPr>
          <w:p w14:paraId="3F07DF46" w14:textId="77777777" w:rsidR="00CD4596" w:rsidRDefault="00000000">
            <w:pPr>
              <w:pStyle w:val="TableText"/>
            </w:pPr>
            <w:r>
              <w:t>Quarterly FX schedule, reserves, hedging, sequencing and export/import-saving milestones.</w:t>
            </w:r>
          </w:p>
        </w:tc>
      </w:tr>
      <w:tr w:rsidR="00CD4596" w14:paraId="6E001589" w14:textId="77777777">
        <w:trPr>
          <w:cantSplit/>
          <w:jc w:val="center"/>
        </w:trPr>
        <w:tc>
          <w:tcPr>
            <w:tcW w:w="2100" w:type="dxa"/>
            <w:shd w:val="clear" w:color="auto" w:fill="F3F5F4"/>
          </w:tcPr>
          <w:p w14:paraId="17FC32DA" w14:textId="77777777" w:rsidR="00CD4596" w:rsidRDefault="00000000">
            <w:pPr>
              <w:pStyle w:val="TableText"/>
            </w:pPr>
            <w:r>
              <w:rPr>
                <w:b/>
                <w:color w:val="075A2C"/>
              </w:rPr>
              <w:t>Water and ecological breach</w:t>
            </w:r>
          </w:p>
        </w:tc>
        <w:tc>
          <w:tcPr>
            <w:tcW w:w="4000" w:type="dxa"/>
            <w:shd w:val="clear" w:color="auto" w:fill="F3F5F4"/>
          </w:tcPr>
          <w:p w14:paraId="41379961" w14:textId="77777777" w:rsidR="00CD4596" w:rsidRDefault="00000000">
            <w:pPr>
              <w:pStyle w:val="TableText"/>
            </w:pPr>
            <w:r>
              <w:t>Economic targets exceed physical carrying capacity.</w:t>
            </w:r>
          </w:p>
        </w:tc>
        <w:tc>
          <w:tcPr>
            <w:tcW w:w="3260" w:type="dxa"/>
            <w:shd w:val="clear" w:color="auto" w:fill="F3F5F4"/>
          </w:tcPr>
          <w:p w14:paraId="0D040352" w14:textId="77777777" w:rsidR="00CD4596" w:rsidRDefault="00000000">
            <w:pPr>
              <w:pStyle w:val="TableText"/>
            </w:pPr>
            <w:r>
              <w:t>Independent water balance, no-go thresholds, monitoring and enforceable permits.</w:t>
            </w:r>
          </w:p>
        </w:tc>
      </w:tr>
      <w:tr w:rsidR="00CD4596" w14:paraId="6000ED60" w14:textId="77777777">
        <w:trPr>
          <w:cantSplit/>
          <w:jc w:val="center"/>
        </w:trPr>
        <w:tc>
          <w:tcPr>
            <w:tcW w:w="2100" w:type="dxa"/>
          </w:tcPr>
          <w:p w14:paraId="1447242E" w14:textId="77777777" w:rsidR="00CD4596" w:rsidRDefault="00000000">
            <w:pPr>
              <w:pStyle w:val="TableText"/>
            </w:pPr>
            <w:r>
              <w:rPr>
                <w:b/>
                <w:color w:val="075A2C"/>
              </w:rPr>
              <w:t>Empty assets</w:t>
            </w:r>
          </w:p>
        </w:tc>
        <w:tc>
          <w:tcPr>
            <w:tcW w:w="4000" w:type="dxa"/>
          </w:tcPr>
          <w:p w14:paraId="0843B27C" w14:textId="77777777" w:rsidR="00CD4596" w:rsidRDefault="00000000">
            <w:pPr>
              <w:pStyle w:val="TableText"/>
            </w:pPr>
            <w:r>
              <w:t>Factories, housing or services are built without operators or users.</w:t>
            </w:r>
          </w:p>
        </w:tc>
        <w:tc>
          <w:tcPr>
            <w:tcW w:w="3260" w:type="dxa"/>
          </w:tcPr>
          <w:p w14:paraId="2822F43F" w14:textId="77777777" w:rsidR="00CD4596" w:rsidRDefault="00000000">
            <w:pPr>
              <w:pStyle w:val="TableText"/>
            </w:pPr>
            <w:r>
              <w:t>Committed occupancy/offtake, phased release and operating contracts.</w:t>
            </w:r>
          </w:p>
        </w:tc>
      </w:tr>
      <w:tr w:rsidR="00CD4596" w14:paraId="0E14E5E9" w14:textId="77777777">
        <w:trPr>
          <w:cantSplit/>
          <w:jc w:val="center"/>
        </w:trPr>
        <w:tc>
          <w:tcPr>
            <w:tcW w:w="2100" w:type="dxa"/>
            <w:shd w:val="clear" w:color="auto" w:fill="F3F5F4"/>
          </w:tcPr>
          <w:p w14:paraId="1E9F6993" w14:textId="77777777" w:rsidR="00CD4596" w:rsidRDefault="00000000">
            <w:pPr>
              <w:pStyle w:val="TableText"/>
            </w:pPr>
            <w:r>
              <w:rPr>
                <w:b/>
                <w:color w:val="075A2C"/>
              </w:rPr>
              <w:t>False precision</w:t>
            </w:r>
          </w:p>
        </w:tc>
        <w:tc>
          <w:tcPr>
            <w:tcW w:w="4000" w:type="dxa"/>
            <w:shd w:val="clear" w:color="auto" w:fill="F3F5F4"/>
          </w:tcPr>
          <w:p w14:paraId="64A1DCE1" w14:textId="77777777" w:rsidR="00CD4596" w:rsidRDefault="00000000">
            <w:pPr>
              <w:pStyle w:val="TableText"/>
            </w:pPr>
            <w:r>
              <w:t>Complex social outcomes are reduced to a single score or model.</w:t>
            </w:r>
          </w:p>
        </w:tc>
        <w:tc>
          <w:tcPr>
            <w:tcW w:w="3260" w:type="dxa"/>
            <w:shd w:val="clear" w:color="auto" w:fill="F3F5F4"/>
          </w:tcPr>
          <w:p w14:paraId="30A39196" w14:textId="77777777" w:rsidR="00CD4596" w:rsidRDefault="00000000">
            <w:pPr>
              <w:pStyle w:val="TableText"/>
            </w:pPr>
            <w:r>
              <w:t>Ranges, scenarios, qualitative evidence and documented uncertainty.</w:t>
            </w:r>
          </w:p>
        </w:tc>
      </w:tr>
      <w:tr w:rsidR="00CD4596" w14:paraId="662FAF0A" w14:textId="77777777">
        <w:trPr>
          <w:cantSplit/>
          <w:jc w:val="center"/>
        </w:trPr>
        <w:tc>
          <w:tcPr>
            <w:tcW w:w="2100" w:type="dxa"/>
          </w:tcPr>
          <w:p w14:paraId="52C4DAE2" w14:textId="77777777" w:rsidR="00CD4596" w:rsidRDefault="00000000">
            <w:pPr>
              <w:pStyle w:val="TableText"/>
            </w:pPr>
            <w:r>
              <w:rPr>
                <w:b/>
                <w:color w:val="075A2C"/>
              </w:rPr>
              <w:t>Stewardship conflict</w:t>
            </w:r>
          </w:p>
        </w:tc>
        <w:tc>
          <w:tcPr>
            <w:tcW w:w="4000" w:type="dxa"/>
          </w:tcPr>
          <w:p w14:paraId="650DF5A1" w14:textId="77777777" w:rsidR="00CD4596" w:rsidRDefault="00000000">
            <w:pPr>
              <w:pStyle w:val="TableText"/>
            </w:pPr>
            <w:r>
              <w:t>Youth’s advisory, developer, operator and investor roles pull in different directions.</w:t>
            </w:r>
          </w:p>
        </w:tc>
        <w:tc>
          <w:tcPr>
            <w:tcW w:w="3260" w:type="dxa"/>
          </w:tcPr>
          <w:p w14:paraId="6395000C" w14:textId="77777777" w:rsidR="00CD4596" w:rsidRDefault="00000000">
            <w:pPr>
              <w:pStyle w:val="TableText"/>
            </w:pPr>
            <w:r>
              <w:t>Role separation, conflict committee, independent valuation and consent.</w:t>
            </w:r>
          </w:p>
        </w:tc>
      </w:tr>
    </w:tbl>
    <w:p w14:paraId="4E5AF4F0" w14:textId="77777777" w:rsidR="00CD4596" w:rsidRDefault="00000000">
      <w:pPr>
        <w:pStyle w:val="Heading2"/>
      </w:pPr>
      <w:proofErr w:type="gramStart"/>
      <w:r>
        <w:t>9.2  Minimum</w:t>
      </w:r>
      <w:proofErr w:type="gramEnd"/>
      <w:r>
        <w:t xml:space="preserve"> safeguards before capital commitment</w:t>
      </w:r>
    </w:p>
    <w:p w14:paraId="12738105" w14:textId="77777777" w:rsidR="00CD4596" w:rsidRDefault="00000000">
      <w:pPr>
        <w:pStyle w:val="ListBullet"/>
      </w:pPr>
      <w:r>
        <w:t>Independent technical feasibility and resource balance.</w:t>
      </w:r>
    </w:p>
    <w:p w14:paraId="74294A85" w14:textId="77777777" w:rsidR="00CD4596" w:rsidRDefault="00000000">
      <w:pPr>
        <w:pStyle w:val="ListBullet"/>
      </w:pPr>
      <w:r>
        <w:t>Documented customer demand, pricing evidence and downside case.</w:t>
      </w:r>
    </w:p>
    <w:p w14:paraId="6F1CC8E0" w14:textId="77777777" w:rsidR="00CD4596" w:rsidRDefault="00000000">
      <w:pPr>
        <w:pStyle w:val="ListBullet"/>
      </w:pPr>
      <w:r>
        <w:t>Lifecycle financial model with construction, operating, liquidity and decommissioning costs.</w:t>
      </w:r>
    </w:p>
    <w:p w14:paraId="3E531D41" w14:textId="5A0324A8" w:rsidR="00CD4596" w:rsidRDefault="00000000">
      <w:pPr>
        <w:pStyle w:val="ListBullet"/>
      </w:pPr>
      <w:proofErr w:type="gramStart"/>
      <w:r>
        <w:t>Foreign-exchange</w:t>
      </w:r>
      <w:proofErr w:type="gramEnd"/>
      <w:r>
        <w:t xml:space="preserve"> schedule and sensitivity to exchange rate, imported input and debt-service shocks.</w:t>
      </w:r>
      <w:r w:rsidR="00E75B38">
        <w:t xml:space="preserve"> Import substitution and export goals through production, refinement, agriculture, and more.</w:t>
      </w:r>
    </w:p>
    <w:p w14:paraId="15962567" w14:textId="77777777" w:rsidR="00CD4596" w:rsidRDefault="00000000">
      <w:pPr>
        <w:pStyle w:val="ListBullet"/>
      </w:pPr>
      <w:r>
        <w:t xml:space="preserve">Environmental and social assessment </w:t>
      </w:r>
      <w:proofErr w:type="gramStart"/>
      <w:r>
        <w:t>proportionate</w:t>
      </w:r>
      <w:proofErr w:type="gramEnd"/>
      <w:r>
        <w:t xml:space="preserve"> to risk, with grievance and remedy mechanisms.</w:t>
      </w:r>
    </w:p>
    <w:p w14:paraId="3C258B47" w14:textId="77777777" w:rsidR="00CD4596" w:rsidRDefault="00000000">
      <w:pPr>
        <w:pStyle w:val="ListBullet"/>
      </w:pPr>
      <w:r>
        <w:t>Clear land, permit, procurement, tax, competition and regulatory analysis.</w:t>
      </w:r>
    </w:p>
    <w:p w14:paraId="075CF8BD" w14:textId="77777777" w:rsidR="00CD4596" w:rsidRDefault="00000000">
      <w:pPr>
        <w:pStyle w:val="ListBullet"/>
      </w:pPr>
      <w:r>
        <w:t>Named owner, operator, maintainer and regulator for every shared asset.</w:t>
      </w:r>
    </w:p>
    <w:p w14:paraId="14BF2B40" w14:textId="77777777" w:rsidR="00CD4596" w:rsidRDefault="00000000">
      <w:pPr>
        <w:pStyle w:val="ListBullet"/>
      </w:pPr>
      <w:r>
        <w:t>Baseline, targets, data rights, evaluation budget and public reporting rules.</w:t>
      </w:r>
    </w:p>
    <w:p w14:paraId="04EAFFC2" w14:textId="77777777" w:rsidR="00CD4596" w:rsidRDefault="00000000">
      <w:pPr>
        <w:pStyle w:val="Heading2"/>
      </w:pPr>
      <w:proofErr w:type="gramStart"/>
      <w:r>
        <w:t>9.3  Founding</w:t>
      </w:r>
      <w:proofErr w:type="gramEnd"/>
      <w:r>
        <w:t xml:space="preserve"> research agenda</w:t>
      </w:r>
    </w:p>
    <w:p w14:paraId="46627038" w14:textId="77777777" w:rsidR="00CD4596" w:rsidRDefault="00000000">
      <w:pPr>
        <w:pStyle w:val="BodyText"/>
      </w:pPr>
      <w:r>
        <w:t>The next stage is to convert this paper into cumulative research. The priority is not to add terminology; it is to test mechanisms and build reusable tools for Egyptian projects.</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500"/>
        <w:gridCol w:w="4300"/>
        <w:gridCol w:w="2560"/>
      </w:tblGrid>
      <w:tr w:rsidR="00CD4596" w14:paraId="2A57C4B2" w14:textId="77777777">
        <w:trPr>
          <w:tblHeader/>
          <w:jc w:val="center"/>
        </w:trPr>
        <w:tc>
          <w:tcPr>
            <w:tcW w:w="2500" w:type="dxa"/>
            <w:shd w:val="clear" w:color="auto" w:fill="075A2C"/>
            <w:tcMar>
              <w:top w:w="90" w:type="dxa"/>
              <w:left w:w="100" w:type="dxa"/>
              <w:bottom w:w="90" w:type="dxa"/>
              <w:right w:w="100" w:type="dxa"/>
            </w:tcMar>
            <w:vAlign w:val="center"/>
          </w:tcPr>
          <w:p w14:paraId="4977FDC5" w14:textId="77777777" w:rsidR="00CD4596" w:rsidRDefault="00000000">
            <w:r>
              <w:rPr>
                <w:b/>
                <w:color w:val="FFFFFF"/>
                <w:sz w:val="17"/>
              </w:rPr>
              <w:t>Research program</w:t>
            </w:r>
          </w:p>
        </w:tc>
        <w:tc>
          <w:tcPr>
            <w:tcW w:w="4300" w:type="dxa"/>
            <w:shd w:val="clear" w:color="auto" w:fill="075A2C"/>
            <w:tcMar>
              <w:top w:w="90" w:type="dxa"/>
              <w:left w:w="100" w:type="dxa"/>
              <w:bottom w:w="90" w:type="dxa"/>
              <w:right w:w="100" w:type="dxa"/>
            </w:tcMar>
            <w:vAlign w:val="center"/>
          </w:tcPr>
          <w:p w14:paraId="1B4F37D9" w14:textId="77777777" w:rsidR="00CD4596" w:rsidRDefault="00000000">
            <w:r>
              <w:rPr>
                <w:b/>
                <w:color w:val="FFFFFF"/>
                <w:sz w:val="17"/>
              </w:rPr>
              <w:t>Initial question</w:t>
            </w:r>
          </w:p>
        </w:tc>
        <w:tc>
          <w:tcPr>
            <w:tcW w:w="2560" w:type="dxa"/>
            <w:shd w:val="clear" w:color="auto" w:fill="075A2C"/>
            <w:tcMar>
              <w:top w:w="90" w:type="dxa"/>
              <w:left w:w="100" w:type="dxa"/>
              <w:bottom w:w="90" w:type="dxa"/>
              <w:right w:w="100" w:type="dxa"/>
            </w:tcMar>
            <w:vAlign w:val="center"/>
          </w:tcPr>
          <w:p w14:paraId="491E4C09" w14:textId="77777777" w:rsidR="00CD4596" w:rsidRDefault="00000000">
            <w:r>
              <w:rPr>
                <w:b/>
                <w:color w:val="FFFFFF"/>
                <w:sz w:val="17"/>
              </w:rPr>
              <w:t>First output</w:t>
            </w:r>
          </w:p>
        </w:tc>
      </w:tr>
      <w:tr w:rsidR="00CD4596" w14:paraId="7E83B843" w14:textId="77777777">
        <w:trPr>
          <w:cantSplit/>
          <w:jc w:val="center"/>
        </w:trPr>
        <w:tc>
          <w:tcPr>
            <w:tcW w:w="2500" w:type="dxa"/>
          </w:tcPr>
          <w:p w14:paraId="0421A8D3" w14:textId="77777777" w:rsidR="00CD4596" w:rsidRDefault="00000000">
            <w:pPr>
              <w:pStyle w:val="TableText"/>
            </w:pPr>
            <w:r>
              <w:rPr>
                <w:b/>
                <w:color w:val="075A2C"/>
              </w:rPr>
              <w:t>New Delta productive baseline</w:t>
            </w:r>
          </w:p>
        </w:tc>
        <w:tc>
          <w:tcPr>
            <w:tcW w:w="4300" w:type="dxa"/>
          </w:tcPr>
          <w:p w14:paraId="1A56570F" w14:textId="77777777" w:rsidR="00CD4596" w:rsidRDefault="00000000">
            <w:pPr>
              <w:pStyle w:val="TableText"/>
            </w:pPr>
            <w:r>
              <w:t>Which water, energy, land, labor, logistics and institutional constraints bind by subregion?</w:t>
            </w:r>
          </w:p>
        </w:tc>
        <w:tc>
          <w:tcPr>
            <w:tcW w:w="2560" w:type="dxa"/>
          </w:tcPr>
          <w:p w14:paraId="7D569AF6" w14:textId="77777777" w:rsidR="00CD4596" w:rsidRDefault="00000000">
            <w:pPr>
              <w:pStyle w:val="TableText"/>
            </w:pPr>
            <w:r>
              <w:t>Geospatial baseline and constraint register</w:t>
            </w:r>
          </w:p>
        </w:tc>
      </w:tr>
      <w:tr w:rsidR="00CD4596" w14:paraId="3E954907" w14:textId="77777777">
        <w:trPr>
          <w:cantSplit/>
          <w:jc w:val="center"/>
        </w:trPr>
        <w:tc>
          <w:tcPr>
            <w:tcW w:w="2500" w:type="dxa"/>
            <w:shd w:val="clear" w:color="auto" w:fill="F3F5F4"/>
          </w:tcPr>
          <w:p w14:paraId="1E40EDEF" w14:textId="77777777" w:rsidR="00CD4596" w:rsidRDefault="00000000">
            <w:pPr>
              <w:pStyle w:val="TableText"/>
            </w:pPr>
            <w:r>
              <w:rPr>
                <w:b/>
                <w:color w:val="075A2C"/>
              </w:rPr>
              <w:t>Egyptian value-chain observatory</w:t>
            </w:r>
          </w:p>
        </w:tc>
        <w:tc>
          <w:tcPr>
            <w:tcW w:w="4300" w:type="dxa"/>
            <w:shd w:val="clear" w:color="auto" w:fill="F3F5F4"/>
          </w:tcPr>
          <w:p w14:paraId="3BF4AC96" w14:textId="77777777" w:rsidR="00CD4596" w:rsidRDefault="00000000">
            <w:pPr>
              <w:pStyle w:val="TableText"/>
            </w:pPr>
            <w:r>
              <w:t>Where are the largest feasible gaps in food, construction, equipment, health and energy chains?</w:t>
            </w:r>
          </w:p>
        </w:tc>
        <w:tc>
          <w:tcPr>
            <w:tcW w:w="2560" w:type="dxa"/>
            <w:shd w:val="clear" w:color="auto" w:fill="F3F5F4"/>
          </w:tcPr>
          <w:p w14:paraId="348DCA43" w14:textId="77777777" w:rsidR="00CD4596" w:rsidRDefault="00000000">
            <w:pPr>
              <w:pStyle w:val="TableText"/>
            </w:pPr>
            <w:r>
              <w:t>Repeatable chain-mapping protocol and selected maps</w:t>
            </w:r>
          </w:p>
        </w:tc>
      </w:tr>
      <w:tr w:rsidR="00CD4596" w14:paraId="700F22A8" w14:textId="77777777">
        <w:trPr>
          <w:cantSplit/>
          <w:jc w:val="center"/>
        </w:trPr>
        <w:tc>
          <w:tcPr>
            <w:tcW w:w="2500" w:type="dxa"/>
          </w:tcPr>
          <w:p w14:paraId="001F5F79" w14:textId="77777777" w:rsidR="00CD4596" w:rsidRDefault="00000000">
            <w:pPr>
              <w:pStyle w:val="TableText"/>
            </w:pPr>
            <w:r>
              <w:rPr>
                <w:b/>
                <w:color w:val="075A2C"/>
              </w:rPr>
              <w:t>Foreign-exchange project test</w:t>
            </w:r>
          </w:p>
        </w:tc>
        <w:tc>
          <w:tcPr>
            <w:tcW w:w="4300" w:type="dxa"/>
          </w:tcPr>
          <w:p w14:paraId="4E9E54D6" w14:textId="77777777" w:rsidR="00CD4596" w:rsidRDefault="00000000">
            <w:pPr>
              <w:pStyle w:val="TableText"/>
            </w:pPr>
            <w:r>
              <w:t>How accurately can projects forecast FX timing and economic payback?</w:t>
            </w:r>
          </w:p>
        </w:tc>
        <w:tc>
          <w:tcPr>
            <w:tcW w:w="2560" w:type="dxa"/>
          </w:tcPr>
          <w:p w14:paraId="2B297235" w14:textId="77777777" w:rsidR="00CD4596" w:rsidRDefault="00000000">
            <w:pPr>
              <w:pStyle w:val="TableText"/>
            </w:pPr>
            <w:r>
              <w:t>Standard quarterly FX schedule and stress model</w:t>
            </w:r>
          </w:p>
        </w:tc>
      </w:tr>
      <w:tr w:rsidR="00CD4596" w14:paraId="4B8C5A85" w14:textId="77777777">
        <w:trPr>
          <w:cantSplit/>
          <w:jc w:val="center"/>
        </w:trPr>
        <w:tc>
          <w:tcPr>
            <w:tcW w:w="2500" w:type="dxa"/>
            <w:shd w:val="clear" w:color="auto" w:fill="F3F5F4"/>
          </w:tcPr>
          <w:p w14:paraId="0FB18B35" w14:textId="77777777" w:rsidR="00CD4596" w:rsidRDefault="00000000">
            <w:pPr>
              <w:pStyle w:val="TableText"/>
            </w:pPr>
            <w:r>
              <w:rPr>
                <w:b/>
                <w:color w:val="075A2C"/>
              </w:rPr>
              <w:lastRenderedPageBreak/>
              <w:t>Productive-town economics</w:t>
            </w:r>
          </w:p>
        </w:tc>
        <w:tc>
          <w:tcPr>
            <w:tcW w:w="4300" w:type="dxa"/>
            <w:shd w:val="clear" w:color="auto" w:fill="F3F5F4"/>
          </w:tcPr>
          <w:p w14:paraId="2936339E" w14:textId="77777777" w:rsidR="00CD4596" w:rsidRDefault="00000000">
            <w:pPr>
              <w:pStyle w:val="TableText"/>
            </w:pPr>
            <w:r>
              <w:t>What employment, service and occupancy thresholds make phased towns viable?</w:t>
            </w:r>
          </w:p>
        </w:tc>
        <w:tc>
          <w:tcPr>
            <w:tcW w:w="2560" w:type="dxa"/>
            <w:shd w:val="clear" w:color="auto" w:fill="F3F5F4"/>
          </w:tcPr>
          <w:p w14:paraId="1F66F331" w14:textId="77777777" w:rsidR="00CD4596" w:rsidRDefault="00000000">
            <w:pPr>
              <w:pStyle w:val="TableText"/>
            </w:pPr>
            <w:r>
              <w:t>Module economics and operating benchmark</w:t>
            </w:r>
          </w:p>
        </w:tc>
      </w:tr>
      <w:tr w:rsidR="00CD4596" w14:paraId="307A9641" w14:textId="77777777">
        <w:trPr>
          <w:cantSplit/>
          <w:jc w:val="center"/>
        </w:trPr>
        <w:tc>
          <w:tcPr>
            <w:tcW w:w="2500" w:type="dxa"/>
          </w:tcPr>
          <w:p w14:paraId="6279713D" w14:textId="77777777" w:rsidR="00CD4596" w:rsidRDefault="00000000">
            <w:pPr>
              <w:pStyle w:val="TableText"/>
            </w:pPr>
            <w:r>
              <w:rPr>
                <w:b/>
                <w:color w:val="075A2C"/>
              </w:rPr>
              <w:t>Guidance instrument trials</w:t>
            </w:r>
          </w:p>
        </w:tc>
        <w:tc>
          <w:tcPr>
            <w:tcW w:w="4300" w:type="dxa"/>
          </w:tcPr>
          <w:p w14:paraId="67FA1197" w14:textId="77777777" w:rsidR="00CD4596" w:rsidRDefault="00000000">
            <w:pPr>
              <w:pStyle w:val="TableText"/>
            </w:pPr>
            <w:r>
              <w:t>Which combinations of offtake, technical support and finance create additional investment?</w:t>
            </w:r>
          </w:p>
        </w:tc>
        <w:tc>
          <w:tcPr>
            <w:tcW w:w="2560" w:type="dxa"/>
          </w:tcPr>
          <w:p w14:paraId="7F81C54A" w14:textId="77777777" w:rsidR="00CD4596" w:rsidRDefault="00000000">
            <w:pPr>
              <w:pStyle w:val="TableText"/>
            </w:pPr>
            <w:r>
              <w:t>Randomized or matched pilot evaluation where feasible</w:t>
            </w:r>
          </w:p>
        </w:tc>
      </w:tr>
      <w:tr w:rsidR="00CD4596" w14:paraId="059C790B" w14:textId="77777777">
        <w:trPr>
          <w:cantSplit/>
          <w:jc w:val="center"/>
        </w:trPr>
        <w:tc>
          <w:tcPr>
            <w:tcW w:w="2500" w:type="dxa"/>
            <w:shd w:val="clear" w:color="auto" w:fill="F3F5F4"/>
          </w:tcPr>
          <w:p w14:paraId="69E30484" w14:textId="77777777" w:rsidR="00CD4596" w:rsidRDefault="00000000">
            <w:pPr>
              <w:pStyle w:val="TableText"/>
            </w:pPr>
            <w:r>
              <w:rPr>
                <w:b/>
                <w:color w:val="075A2C"/>
              </w:rPr>
              <w:t>Eco-industrial exchange registry</w:t>
            </w:r>
          </w:p>
        </w:tc>
        <w:tc>
          <w:tcPr>
            <w:tcW w:w="4300" w:type="dxa"/>
            <w:shd w:val="clear" w:color="auto" w:fill="F3F5F4"/>
          </w:tcPr>
          <w:p w14:paraId="4531320A" w14:textId="77777777" w:rsidR="00CD4596" w:rsidRDefault="00000000">
            <w:pPr>
              <w:pStyle w:val="TableText"/>
            </w:pPr>
            <w:r>
              <w:t>Which by-product exchanges are technically safe, stable and commercially viable?</w:t>
            </w:r>
          </w:p>
        </w:tc>
        <w:tc>
          <w:tcPr>
            <w:tcW w:w="2560" w:type="dxa"/>
            <w:shd w:val="clear" w:color="auto" w:fill="F3F5F4"/>
          </w:tcPr>
          <w:p w14:paraId="0B598DAA" w14:textId="77777777" w:rsidR="00CD4596" w:rsidRDefault="00000000">
            <w:pPr>
              <w:pStyle w:val="TableText"/>
            </w:pPr>
            <w:r>
              <w:t>Engineering-screened opportunity database</w:t>
            </w:r>
          </w:p>
        </w:tc>
      </w:tr>
      <w:tr w:rsidR="00CD4596" w14:paraId="2759134D" w14:textId="77777777">
        <w:trPr>
          <w:cantSplit/>
          <w:jc w:val="center"/>
        </w:trPr>
        <w:tc>
          <w:tcPr>
            <w:tcW w:w="2500" w:type="dxa"/>
          </w:tcPr>
          <w:p w14:paraId="5EDC5D02" w14:textId="77777777" w:rsidR="00CD4596" w:rsidRDefault="00000000">
            <w:pPr>
              <w:pStyle w:val="TableText"/>
            </w:pPr>
            <w:r>
              <w:rPr>
                <w:b/>
                <w:color w:val="075A2C"/>
              </w:rPr>
              <w:t>Commercial Economics curriculum</w:t>
            </w:r>
          </w:p>
        </w:tc>
        <w:tc>
          <w:tcPr>
            <w:tcW w:w="4300" w:type="dxa"/>
          </w:tcPr>
          <w:p w14:paraId="46E8F08A" w14:textId="77777777" w:rsidR="00CD4596" w:rsidRDefault="00000000">
            <w:pPr>
              <w:pStyle w:val="TableText"/>
            </w:pPr>
            <w:r>
              <w:t>What cross-disciplinary competence can be taught without replacing specialist education?</w:t>
            </w:r>
          </w:p>
        </w:tc>
        <w:tc>
          <w:tcPr>
            <w:tcW w:w="2560" w:type="dxa"/>
          </w:tcPr>
          <w:p w14:paraId="7160BDAA" w14:textId="27CD1239" w:rsidR="00CD4596" w:rsidRDefault="00000000">
            <w:pPr>
              <w:pStyle w:val="TableText"/>
            </w:pPr>
            <w:r>
              <w:t xml:space="preserve">Competency framework, cases and </w:t>
            </w:r>
            <w:r w:rsidR="00136824">
              <w:t>historical and public projects and research</w:t>
            </w:r>
          </w:p>
        </w:tc>
      </w:tr>
    </w:tbl>
    <w:p w14:paraId="1F464438" w14:textId="77777777" w:rsidR="00CD4596" w:rsidRDefault="00000000">
      <w:pPr>
        <w:pStyle w:val="Heading2"/>
      </w:pPr>
      <w:proofErr w:type="gramStart"/>
      <w:r>
        <w:t>9.4  Criteria</w:t>
      </w:r>
      <w:proofErr w:type="gramEnd"/>
      <w:r>
        <w:t xml:space="preserve"> for recognizing progress as a school of thought</w:t>
      </w:r>
    </w:p>
    <w:p w14:paraId="65B3EA9D" w14:textId="77777777" w:rsidR="00CD4596" w:rsidRDefault="00000000">
      <w:pPr>
        <w:pStyle w:val="BodyText"/>
      </w:pPr>
      <w:r>
        <w:t>Commercial Economics will earn standing through evidence. Progress should be judged by peer-reviewed definitions, replicable tools, transparent case studies, predictive usefulness, better project decisions and documented social and commercial outcomes. A doctrine that cannot record failure cannot learn.</w:t>
      </w:r>
    </w:p>
    <w:p w14:paraId="423C73CF" w14:textId="77777777" w:rsidR="00CD4596" w:rsidRDefault="00000000">
      <w:pPr>
        <w:pStyle w:val="ListBullet"/>
      </w:pPr>
      <w:r>
        <w:t>At least three independent pilot cases using the same diagnostic and evaluation protocol.</w:t>
      </w:r>
    </w:p>
    <w:p w14:paraId="24339FD2" w14:textId="77777777" w:rsidR="00CD4596" w:rsidRDefault="00000000">
      <w:pPr>
        <w:pStyle w:val="ListBullet"/>
      </w:pPr>
      <w:r>
        <w:t>Publication of methods, baseline data definitions and model assumptions.</w:t>
      </w:r>
    </w:p>
    <w:p w14:paraId="6B870A09" w14:textId="77777777" w:rsidR="00CD4596" w:rsidRDefault="00000000">
      <w:pPr>
        <w:pStyle w:val="ListBullet"/>
      </w:pPr>
      <w:r>
        <w:t>External critique by Egyptian and international economists and sector specialists.</w:t>
      </w:r>
    </w:p>
    <w:p w14:paraId="3698F7CD" w14:textId="77777777" w:rsidR="00CD4596" w:rsidRDefault="00000000">
      <w:pPr>
        <w:pStyle w:val="ListBullet"/>
      </w:pPr>
      <w:proofErr w:type="gramStart"/>
      <w:r>
        <w:t>A record</w:t>
      </w:r>
      <w:proofErr w:type="gramEnd"/>
      <w:r>
        <w:t xml:space="preserve"> of projects stopped or </w:t>
      </w:r>
      <w:proofErr w:type="gramStart"/>
      <w:r>
        <w:t>redesigned</w:t>
      </w:r>
      <w:proofErr w:type="gramEnd"/>
      <w:r>
        <w:t xml:space="preserve"> because evidence was unfavorable.</w:t>
      </w:r>
    </w:p>
    <w:p w14:paraId="2567491E" w14:textId="77777777" w:rsidR="00CD4596" w:rsidRDefault="00000000">
      <w:pPr>
        <w:pStyle w:val="ListBullet"/>
      </w:pPr>
      <w:r>
        <w:t>Training and certification based on demonstrated competence, not affiliation alone.</w:t>
      </w:r>
    </w:p>
    <w:p w14:paraId="066CCEFB" w14:textId="77777777" w:rsidR="00CD4596" w:rsidRDefault="00000000">
      <w:pPr>
        <w:pStyle w:val="Heading1"/>
        <w:pageBreakBefore/>
        <w:pBdr>
          <w:bottom w:val="single" w:sz="6" w:space="6" w:color="CFE5D7"/>
        </w:pBdr>
      </w:pPr>
      <w:proofErr w:type="gramStart"/>
      <w:r>
        <w:rPr>
          <w:color w:val="2F7D52"/>
        </w:rPr>
        <w:lastRenderedPageBreak/>
        <w:t xml:space="preserve">10  </w:t>
      </w:r>
      <w:r>
        <w:t>Conclusion</w:t>
      </w:r>
      <w:proofErr w:type="gramEnd"/>
    </w:p>
    <w:p w14:paraId="174D26D0" w14:textId="77777777" w:rsidR="00CD4596" w:rsidRDefault="00000000">
      <w:pPr>
        <w:pStyle w:val="ChapterSubtitle"/>
      </w:pPr>
      <w:r>
        <w:t>Commercial Economics is an invitation to connect ambition to production, institutions and evidence.</w:t>
      </w:r>
    </w:p>
    <w:p w14:paraId="05D6B2D0" w14:textId="77777777" w:rsidR="00CD4596" w:rsidRDefault="00000000">
      <w:pPr>
        <w:pStyle w:val="BodyText"/>
      </w:pPr>
      <w:r>
        <w:t>The founding question—how to create a productive society in the New Delta and elsewhere in Egypt—cannot be answered by one sector, one investor or one ministry. It requires a disciplined way to connect physical resources, human capability, firms, infrastructure, finance, public institutions and everyday services. Commercial Economics is Youth Technologies’ proposed name for that integrated work.</w:t>
      </w:r>
    </w:p>
    <w:p w14:paraId="18968059" w14:textId="77777777" w:rsidR="00CD4596" w:rsidRDefault="00000000">
      <w:pPr>
        <w:pStyle w:val="BodyText"/>
      </w:pPr>
      <w:r>
        <w:t xml:space="preserve">Its central message is simple. Wealth is sustained when people and institutions can repeatedly produce useful value within real </w:t>
      </w:r>
      <w:proofErr w:type="gramStart"/>
      <w:r>
        <w:t>resource</w:t>
      </w:r>
      <w:proofErr w:type="gramEnd"/>
      <w:r>
        <w:t xml:space="preserve"> and financial limits. Markets are essential for discovery, exchange and discipline; capable public institutions are essential for law, public goods, coordination and fair competition. Finance is essential, but it must be matched to operations, asset life and </w:t>
      </w:r>
      <w:proofErr w:type="gramStart"/>
      <w:r>
        <w:t>foreign-exchange</w:t>
      </w:r>
      <w:proofErr w:type="gramEnd"/>
      <w:r>
        <w:t xml:space="preserve"> reality. Technology is essential, but only when it is adopted, maintained and connected to users.</w:t>
      </w:r>
    </w:p>
    <w:p w14:paraId="60C6A54E" w14:textId="77777777" w:rsidR="00CD4596" w:rsidRDefault="00000000">
      <w:pPr>
        <w:pStyle w:val="BodyText"/>
      </w:pPr>
      <w:r>
        <w:t xml:space="preserve">Youth’s claim should therefore be modest and </w:t>
      </w:r>
      <w:proofErr w:type="gramStart"/>
      <w:r>
        <w:t>demanding:</w:t>
      </w:r>
      <w:proofErr w:type="gramEnd"/>
      <w:r>
        <w:t xml:space="preserve"> it has developed an original integrated framework for its own stewardship mission, informed by many earlier traditions, and now offers that framework for public discussion, pilot testing and improvement. The New Delta can become its first serious laboratory. Success will not be the publication of a doctrine. Success will be productive firms, reliable services, rising capability, stronger real incomes and projects that remain useful after their promoters leave.</w:t>
      </w:r>
    </w:p>
    <w:tbl>
      <w:tblPr>
        <w:tblW w:w="9000" w:type="dxa"/>
        <w:jc w:val="center"/>
        <w:tblBorders>
          <w:top w:val="single" w:sz="8" w:space="0" w:color="075A2C"/>
          <w:left w:val="single" w:sz="8" w:space="0" w:color="075A2C"/>
          <w:bottom w:val="single" w:sz="8" w:space="0" w:color="075A2C"/>
          <w:right w:val="single" w:sz="8" w:space="0" w:color="075A2C"/>
          <w:insideH w:val="single" w:sz="8" w:space="0" w:color="075A2C"/>
          <w:insideV w:val="single" w:sz="8" w:space="0" w:color="075A2C"/>
        </w:tblBorders>
        <w:tblLayout w:type="fixed"/>
        <w:tblLook w:val="04A0" w:firstRow="1" w:lastRow="0" w:firstColumn="1" w:lastColumn="0" w:noHBand="0" w:noVBand="1"/>
      </w:tblPr>
      <w:tblGrid>
        <w:gridCol w:w="9000"/>
      </w:tblGrid>
      <w:tr w:rsidR="00CD4596" w14:paraId="59BB9F0F" w14:textId="77777777">
        <w:trPr>
          <w:jc w:val="center"/>
        </w:trPr>
        <w:tc>
          <w:tcPr>
            <w:tcW w:w="9000" w:type="dxa"/>
            <w:shd w:val="clear" w:color="auto" w:fill="075A2C"/>
            <w:tcMar>
              <w:top w:w="90" w:type="dxa"/>
              <w:left w:w="100" w:type="dxa"/>
              <w:bottom w:w="90" w:type="dxa"/>
              <w:right w:w="100" w:type="dxa"/>
            </w:tcMar>
            <w:vAlign w:val="center"/>
          </w:tcPr>
          <w:p w14:paraId="3FC08C69" w14:textId="77777777" w:rsidR="00CD4596" w:rsidRDefault="00000000">
            <w:pPr>
              <w:spacing w:after="80"/>
            </w:pPr>
            <w:r>
              <w:rPr>
                <w:b/>
                <w:color w:val="FFFFFF"/>
                <w:sz w:val="17"/>
              </w:rPr>
              <w:t>INVITATION</w:t>
            </w:r>
          </w:p>
          <w:p w14:paraId="58D76146" w14:textId="77777777" w:rsidR="00CD4596" w:rsidRDefault="00000000">
            <w:pPr>
              <w:pStyle w:val="Callout"/>
            </w:pPr>
            <w:r>
              <w:rPr>
                <w:color w:val="FFFFFF"/>
              </w:rPr>
              <w:t>Youth Technologies invites Egyptian investors, operators, researchers, public institutions and communities to challenge the framework, contribute evidence and co-design pilots whose results can be measured.</w:t>
            </w:r>
          </w:p>
        </w:tc>
      </w:tr>
    </w:tbl>
    <w:p w14:paraId="0DD1DA1E" w14:textId="77777777" w:rsidR="00CD4596" w:rsidRDefault="00000000">
      <w:pPr>
        <w:pStyle w:val="Heading1"/>
        <w:pageBreakBefore/>
        <w:pBdr>
          <w:bottom w:val="single" w:sz="6" w:space="6" w:color="CFE5D7"/>
        </w:pBdr>
      </w:pPr>
      <w:proofErr w:type="gramStart"/>
      <w:r>
        <w:rPr>
          <w:color w:val="2F7D52"/>
        </w:rPr>
        <w:lastRenderedPageBreak/>
        <w:t xml:space="preserve">A  </w:t>
      </w:r>
      <w:r>
        <w:t>Glossary</w:t>
      </w:r>
      <w:proofErr w:type="gramEnd"/>
    </w:p>
    <w:p w14:paraId="46A9784E" w14:textId="77777777" w:rsidR="00CD4596" w:rsidRDefault="00000000">
      <w:pPr>
        <w:pStyle w:val="ChapterSubtitle"/>
      </w:pPr>
      <w:r>
        <w:t>Plain-language definitions for the proposed field and its instruments.</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400"/>
        <w:gridCol w:w="6960"/>
      </w:tblGrid>
      <w:tr w:rsidR="00CD4596" w14:paraId="3652877D" w14:textId="77777777">
        <w:trPr>
          <w:tblHeader/>
          <w:jc w:val="center"/>
        </w:trPr>
        <w:tc>
          <w:tcPr>
            <w:tcW w:w="2400" w:type="dxa"/>
            <w:shd w:val="clear" w:color="auto" w:fill="075A2C"/>
            <w:tcMar>
              <w:top w:w="90" w:type="dxa"/>
              <w:left w:w="100" w:type="dxa"/>
              <w:bottom w:w="90" w:type="dxa"/>
              <w:right w:w="100" w:type="dxa"/>
            </w:tcMar>
            <w:vAlign w:val="center"/>
          </w:tcPr>
          <w:p w14:paraId="6E792625" w14:textId="77777777" w:rsidR="00CD4596" w:rsidRDefault="00000000">
            <w:r>
              <w:rPr>
                <w:b/>
                <w:color w:val="FFFFFF"/>
                <w:sz w:val="18"/>
              </w:rPr>
              <w:t>Term</w:t>
            </w:r>
          </w:p>
        </w:tc>
        <w:tc>
          <w:tcPr>
            <w:tcW w:w="6960" w:type="dxa"/>
            <w:shd w:val="clear" w:color="auto" w:fill="075A2C"/>
            <w:tcMar>
              <w:top w:w="90" w:type="dxa"/>
              <w:left w:w="100" w:type="dxa"/>
              <w:bottom w:w="90" w:type="dxa"/>
              <w:right w:w="100" w:type="dxa"/>
            </w:tcMar>
            <w:vAlign w:val="center"/>
          </w:tcPr>
          <w:p w14:paraId="38B9432A" w14:textId="77777777" w:rsidR="00CD4596" w:rsidRDefault="00000000">
            <w:r>
              <w:rPr>
                <w:b/>
                <w:color w:val="FFFFFF"/>
                <w:sz w:val="18"/>
              </w:rPr>
              <w:t>Definition</w:t>
            </w:r>
          </w:p>
        </w:tc>
      </w:tr>
      <w:tr w:rsidR="00CD4596" w14:paraId="40A7CEE9" w14:textId="77777777">
        <w:trPr>
          <w:cantSplit/>
          <w:jc w:val="center"/>
        </w:trPr>
        <w:tc>
          <w:tcPr>
            <w:tcW w:w="2400" w:type="dxa"/>
          </w:tcPr>
          <w:p w14:paraId="17248919" w14:textId="77777777" w:rsidR="00CD4596" w:rsidRDefault="00000000">
            <w:pPr>
              <w:pStyle w:val="TableText"/>
            </w:pPr>
            <w:r>
              <w:rPr>
                <w:b/>
                <w:color w:val="075A2C"/>
              </w:rPr>
              <w:t>Additionality</w:t>
            </w:r>
          </w:p>
        </w:tc>
        <w:tc>
          <w:tcPr>
            <w:tcW w:w="6960" w:type="dxa"/>
          </w:tcPr>
          <w:p w14:paraId="6FAC50E2" w14:textId="77777777" w:rsidR="00CD4596" w:rsidRDefault="00000000">
            <w:pPr>
              <w:pStyle w:val="TableText"/>
            </w:pPr>
            <w:r>
              <w:t xml:space="preserve">An outcome caused by an intervention that would not have occurred </w:t>
            </w:r>
            <w:proofErr w:type="gramStart"/>
            <w:r>
              <w:t>at</w:t>
            </w:r>
            <w:proofErr w:type="gramEnd"/>
            <w:r>
              <w:t xml:space="preserve"> the same scale, quality or time without it.</w:t>
            </w:r>
          </w:p>
        </w:tc>
      </w:tr>
      <w:tr w:rsidR="00CD4596" w14:paraId="78048E2A" w14:textId="77777777">
        <w:trPr>
          <w:cantSplit/>
          <w:jc w:val="center"/>
        </w:trPr>
        <w:tc>
          <w:tcPr>
            <w:tcW w:w="2400" w:type="dxa"/>
            <w:shd w:val="clear" w:color="auto" w:fill="F3F5F4"/>
          </w:tcPr>
          <w:p w14:paraId="00B98E33" w14:textId="77777777" w:rsidR="00CD4596" w:rsidRDefault="00000000">
            <w:pPr>
              <w:pStyle w:val="TableText"/>
            </w:pPr>
            <w:r>
              <w:rPr>
                <w:b/>
                <w:color w:val="075A2C"/>
              </w:rPr>
              <w:t>Anchor</w:t>
            </w:r>
          </w:p>
        </w:tc>
        <w:tc>
          <w:tcPr>
            <w:tcW w:w="6960" w:type="dxa"/>
            <w:shd w:val="clear" w:color="auto" w:fill="F3F5F4"/>
          </w:tcPr>
          <w:p w14:paraId="6990EDED" w14:textId="77777777" w:rsidR="00CD4596" w:rsidRDefault="00000000">
            <w:pPr>
              <w:pStyle w:val="TableText"/>
            </w:pPr>
            <w:r>
              <w:t>A firm, institution or customer with independent demand that can support a wider portfolio.</w:t>
            </w:r>
          </w:p>
        </w:tc>
      </w:tr>
      <w:tr w:rsidR="00CD4596" w14:paraId="59805649" w14:textId="77777777">
        <w:trPr>
          <w:cantSplit/>
          <w:jc w:val="center"/>
        </w:trPr>
        <w:tc>
          <w:tcPr>
            <w:tcW w:w="2400" w:type="dxa"/>
          </w:tcPr>
          <w:p w14:paraId="61CECA3B" w14:textId="77777777" w:rsidR="00CD4596" w:rsidRDefault="00000000">
            <w:pPr>
              <w:pStyle w:val="TableText"/>
            </w:pPr>
            <w:r>
              <w:rPr>
                <w:b/>
                <w:color w:val="075A2C"/>
              </w:rPr>
              <w:t>Capability</w:t>
            </w:r>
          </w:p>
        </w:tc>
        <w:tc>
          <w:tcPr>
            <w:tcW w:w="6960" w:type="dxa"/>
          </w:tcPr>
          <w:p w14:paraId="553125B4" w14:textId="77777777" w:rsidR="00CD4596" w:rsidRDefault="00000000">
            <w:pPr>
              <w:pStyle w:val="TableText"/>
            </w:pPr>
            <w:r>
              <w:t>The combined knowledge, skills, equipment, routines and institutions needed to perform an activity reliably.</w:t>
            </w:r>
          </w:p>
        </w:tc>
      </w:tr>
      <w:tr w:rsidR="00CD4596" w14:paraId="6675299E" w14:textId="77777777">
        <w:trPr>
          <w:cantSplit/>
          <w:jc w:val="center"/>
        </w:trPr>
        <w:tc>
          <w:tcPr>
            <w:tcW w:w="2400" w:type="dxa"/>
            <w:shd w:val="clear" w:color="auto" w:fill="F3F5F4"/>
          </w:tcPr>
          <w:p w14:paraId="2B7B1DF1" w14:textId="77777777" w:rsidR="00CD4596" w:rsidRDefault="00000000">
            <w:pPr>
              <w:pStyle w:val="TableText"/>
            </w:pPr>
            <w:r>
              <w:rPr>
                <w:b/>
                <w:color w:val="075A2C"/>
              </w:rPr>
              <w:t>Commercial Economics</w:t>
            </w:r>
          </w:p>
        </w:tc>
        <w:tc>
          <w:tcPr>
            <w:tcW w:w="6960" w:type="dxa"/>
            <w:shd w:val="clear" w:color="auto" w:fill="F3F5F4"/>
          </w:tcPr>
          <w:p w14:paraId="2D385DD9" w14:textId="77777777" w:rsidR="00CD4596" w:rsidRDefault="00000000">
            <w:pPr>
              <w:pStyle w:val="TableText"/>
            </w:pPr>
            <w:r>
              <w:t>The applied study and design of the institutions, capabilities, value chains and physical systems through which a society produces, exchanges and improves useful goods and services.</w:t>
            </w:r>
          </w:p>
        </w:tc>
      </w:tr>
      <w:tr w:rsidR="00CD4596" w14:paraId="75F9873A" w14:textId="77777777">
        <w:trPr>
          <w:cantSplit/>
          <w:jc w:val="center"/>
        </w:trPr>
        <w:tc>
          <w:tcPr>
            <w:tcW w:w="2400" w:type="dxa"/>
          </w:tcPr>
          <w:p w14:paraId="37CA7FCB" w14:textId="77777777" w:rsidR="00CD4596" w:rsidRDefault="00000000">
            <w:pPr>
              <w:pStyle w:val="TableText"/>
            </w:pPr>
            <w:r>
              <w:rPr>
                <w:b/>
                <w:color w:val="075A2C"/>
              </w:rPr>
              <w:t>Commercial economist</w:t>
            </w:r>
          </w:p>
        </w:tc>
        <w:tc>
          <w:tcPr>
            <w:tcW w:w="6960" w:type="dxa"/>
          </w:tcPr>
          <w:p w14:paraId="6E957013" w14:textId="77777777" w:rsidR="00CD4596" w:rsidRDefault="00000000">
            <w:pPr>
              <w:pStyle w:val="TableText"/>
            </w:pPr>
            <w:r>
              <w:t>A systems integrator who frames cross-sector economic problems and coordinates specialist analysis without replacing specialist accountability.</w:t>
            </w:r>
          </w:p>
        </w:tc>
      </w:tr>
      <w:tr w:rsidR="00CD4596" w14:paraId="6686DFB6" w14:textId="77777777">
        <w:trPr>
          <w:cantSplit/>
          <w:jc w:val="center"/>
        </w:trPr>
        <w:tc>
          <w:tcPr>
            <w:tcW w:w="2400" w:type="dxa"/>
            <w:shd w:val="clear" w:color="auto" w:fill="F3F5F4"/>
          </w:tcPr>
          <w:p w14:paraId="00C5C5DE" w14:textId="77777777" w:rsidR="00CD4596" w:rsidRDefault="00000000">
            <w:pPr>
              <w:pStyle w:val="TableText"/>
            </w:pPr>
            <w:r>
              <w:rPr>
                <w:b/>
                <w:color w:val="075A2C"/>
              </w:rPr>
              <w:t>Domestic value added</w:t>
            </w:r>
          </w:p>
        </w:tc>
        <w:tc>
          <w:tcPr>
            <w:tcW w:w="6960" w:type="dxa"/>
            <w:shd w:val="clear" w:color="auto" w:fill="F3F5F4"/>
          </w:tcPr>
          <w:p w14:paraId="3E448AA0" w14:textId="77777777" w:rsidR="00CD4596" w:rsidRDefault="00000000">
            <w:pPr>
              <w:pStyle w:val="TableText"/>
            </w:pPr>
            <w:r>
              <w:t xml:space="preserve">The value of output </w:t>
            </w:r>
            <w:proofErr w:type="gramStart"/>
            <w:r>
              <w:t>retained</w:t>
            </w:r>
            <w:proofErr w:type="gramEnd"/>
            <w:r>
              <w:t xml:space="preserve"> as domestic wages, profits, taxes and supplier purchases after imported inputs and external payments.</w:t>
            </w:r>
          </w:p>
        </w:tc>
      </w:tr>
      <w:tr w:rsidR="00CD4596" w14:paraId="2A1A3E7A" w14:textId="77777777">
        <w:trPr>
          <w:cantSplit/>
          <w:jc w:val="center"/>
        </w:trPr>
        <w:tc>
          <w:tcPr>
            <w:tcW w:w="2400" w:type="dxa"/>
          </w:tcPr>
          <w:p w14:paraId="5F412846" w14:textId="77777777" w:rsidR="00CD4596" w:rsidRDefault="00000000">
            <w:pPr>
              <w:pStyle w:val="TableText"/>
            </w:pPr>
            <w:r>
              <w:rPr>
                <w:b/>
                <w:color w:val="075A2C"/>
              </w:rPr>
              <w:t>Economic guidance</w:t>
            </w:r>
          </w:p>
        </w:tc>
        <w:tc>
          <w:tcPr>
            <w:tcW w:w="6960" w:type="dxa"/>
          </w:tcPr>
          <w:p w14:paraId="61B2F97E" w14:textId="77777777" w:rsidR="00CD4596" w:rsidRDefault="00000000">
            <w:pPr>
              <w:pStyle w:val="TableText"/>
            </w:pPr>
            <w:r>
              <w:t>Transparent, performance-based public-private coordination used to solve a defined capability or investment problem.</w:t>
            </w:r>
          </w:p>
        </w:tc>
      </w:tr>
      <w:tr w:rsidR="00CD4596" w14:paraId="6E37CC2D" w14:textId="77777777">
        <w:trPr>
          <w:cantSplit/>
          <w:jc w:val="center"/>
        </w:trPr>
        <w:tc>
          <w:tcPr>
            <w:tcW w:w="2400" w:type="dxa"/>
            <w:shd w:val="clear" w:color="auto" w:fill="F3F5F4"/>
          </w:tcPr>
          <w:p w14:paraId="4BDB90C8" w14:textId="77777777" w:rsidR="00CD4596" w:rsidRDefault="00000000">
            <w:pPr>
              <w:pStyle w:val="TableText"/>
            </w:pPr>
            <w:r>
              <w:rPr>
                <w:b/>
                <w:color w:val="075A2C"/>
              </w:rPr>
              <w:t>Economic town</w:t>
            </w:r>
          </w:p>
        </w:tc>
        <w:tc>
          <w:tcPr>
            <w:tcW w:w="6960" w:type="dxa"/>
            <w:shd w:val="clear" w:color="auto" w:fill="F3F5F4"/>
          </w:tcPr>
          <w:p w14:paraId="414E26EB" w14:textId="145756C1" w:rsidR="00CD4596" w:rsidRDefault="00000000">
            <w:pPr>
              <w:pStyle w:val="TableText"/>
            </w:pPr>
            <w:r>
              <w:t xml:space="preserve">A phased </w:t>
            </w:r>
            <w:r w:rsidR="00D703C6">
              <w:t>development</w:t>
            </w:r>
            <w:r>
              <w:t xml:space="preserve"> and productive system integrating jobs, housing, services, utilities, logistics and governance.</w:t>
            </w:r>
          </w:p>
        </w:tc>
      </w:tr>
      <w:tr w:rsidR="00CD4596" w14:paraId="5F71343A" w14:textId="77777777">
        <w:trPr>
          <w:cantSplit/>
          <w:jc w:val="center"/>
        </w:trPr>
        <w:tc>
          <w:tcPr>
            <w:tcW w:w="2400" w:type="dxa"/>
          </w:tcPr>
          <w:p w14:paraId="6DA0CD23" w14:textId="77777777" w:rsidR="00CD4596" w:rsidRDefault="00000000">
            <w:pPr>
              <w:pStyle w:val="TableText"/>
            </w:pPr>
            <w:r>
              <w:rPr>
                <w:b/>
                <w:color w:val="075A2C"/>
              </w:rPr>
              <w:t>Existence chain</w:t>
            </w:r>
          </w:p>
        </w:tc>
        <w:tc>
          <w:tcPr>
            <w:tcW w:w="6960" w:type="dxa"/>
          </w:tcPr>
          <w:p w14:paraId="4CEA9C0B" w14:textId="77777777" w:rsidR="00CD4596" w:rsidRDefault="00000000">
            <w:pPr>
              <w:pStyle w:val="TableText"/>
            </w:pPr>
            <w:r>
              <w:t>Youth’s term for the full resource, production, delivery, use and recovery path that makes a good or service available.</w:t>
            </w:r>
          </w:p>
        </w:tc>
      </w:tr>
      <w:tr w:rsidR="00CD4596" w14:paraId="38675D7E" w14:textId="77777777">
        <w:trPr>
          <w:cantSplit/>
          <w:jc w:val="center"/>
        </w:trPr>
        <w:tc>
          <w:tcPr>
            <w:tcW w:w="2400" w:type="dxa"/>
            <w:shd w:val="clear" w:color="auto" w:fill="F3F5F4"/>
          </w:tcPr>
          <w:p w14:paraId="14ED73EF" w14:textId="77777777" w:rsidR="00CD4596" w:rsidRDefault="00000000">
            <w:pPr>
              <w:pStyle w:val="TableText"/>
            </w:pPr>
            <w:r>
              <w:rPr>
                <w:b/>
                <w:color w:val="075A2C"/>
              </w:rPr>
              <w:t>Foreign-exchange lifecycle</w:t>
            </w:r>
          </w:p>
        </w:tc>
        <w:tc>
          <w:tcPr>
            <w:tcW w:w="6960" w:type="dxa"/>
            <w:shd w:val="clear" w:color="auto" w:fill="F3F5F4"/>
          </w:tcPr>
          <w:p w14:paraId="748549A6" w14:textId="77777777" w:rsidR="00CD4596" w:rsidRDefault="00000000">
            <w:pPr>
              <w:pStyle w:val="TableText"/>
            </w:pPr>
            <w:r>
              <w:t>The timing of a project’s foreign-currency requirements, earnings, savings, debt service and hedging.</w:t>
            </w:r>
          </w:p>
        </w:tc>
      </w:tr>
      <w:tr w:rsidR="00CD4596" w14:paraId="18C04199" w14:textId="77777777">
        <w:trPr>
          <w:cantSplit/>
          <w:jc w:val="center"/>
        </w:trPr>
        <w:tc>
          <w:tcPr>
            <w:tcW w:w="2400" w:type="dxa"/>
          </w:tcPr>
          <w:p w14:paraId="707A6BBC" w14:textId="77777777" w:rsidR="00CD4596" w:rsidRDefault="00000000">
            <w:pPr>
              <w:pStyle w:val="TableText"/>
            </w:pPr>
            <w:r>
              <w:rPr>
                <w:b/>
                <w:color w:val="075A2C"/>
              </w:rPr>
              <w:t>Industrial symbiosis</w:t>
            </w:r>
          </w:p>
        </w:tc>
        <w:tc>
          <w:tcPr>
            <w:tcW w:w="6960" w:type="dxa"/>
          </w:tcPr>
          <w:p w14:paraId="2383F7A5" w14:textId="77777777" w:rsidR="00CD4596" w:rsidRDefault="00000000">
            <w:pPr>
              <w:pStyle w:val="TableText"/>
            </w:pPr>
            <w:r>
              <w:t>A safe, technically feasible exchange in which one organization’s by-product, energy, water or service becomes another’s input.</w:t>
            </w:r>
          </w:p>
        </w:tc>
      </w:tr>
      <w:tr w:rsidR="00CD4596" w14:paraId="19DBE1D2" w14:textId="77777777">
        <w:trPr>
          <w:cantSplit/>
          <w:jc w:val="center"/>
        </w:trPr>
        <w:tc>
          <w:tcPr>
            <w:tcW w:w="2400" w:type="dxa"/>
            <w:shd w:val="clear" w:color="auto" w:fill="F3F5F4"/>
          </w:tcPr>
          <w:p w14:paraId="22A13717" w14:textId="77777777" w:rsidR="00CD4596" w:rsidRDefault="00000000">
            <w:pPr>
              <w:pStyle w:val="TableText"/>
            </w:pPr>
            <w:r>
              <w:rPr>
                <w:b/>
                <w:color w:val="075A2C"/>
              </w:rPr>
              <w:t>Physical economy</w:t>
            </w:r>
          </w:p>
        </w:tc>
        <w:tc>
          <w:tcPr>
            <w:tcW w:w="6960" w:type="dxa"/>
            <w:shd w:val="clear" w:color="auto" w:fill="F3F5F4"/>
          </w:tcPr>
          <w:p w14:paraId="1DCB4327" w14:textId="77777777" w:rsidR="00CD4596" w:rsidRDefault="00000000">
            <w:pPr>
              <w:pStyle w:val="TableText"/>
            </w:pPr>
            <w:r>
              <w:t>The real resources, people, assets, operations and services that produce and deliver economic value.</w:t>
            </w:r>
          </w:p>
        </w:tc>
      </w:tr>
      <w:tr w:rsidR="00CD4596" w14:paraId="06411E99" w14:textId="77777777">
        <w:trPr>
          <w:cantSplit/>
          <w:jc w:val="center"/>
        </w:trPr>
        <w:tc>
          <w:tcPr>
            <w:tcW w:w="2400" w:type="dxa"/>
          </w:tcPr>
          <w:p w14:paraId="2373070A" w14:textId="77777777" w:rsidR="00CD4596" w:rsidRDefault="00000000">
            <w:pPr>
              <w:pStyle w:val="TableText"/>
            </w:pPr>
            <w:r>
              <w:rPr>
                <w:b/>
                <w:color w:val="075A2C"/>
              </w:rPr>
              <w:t>Productive habitat</w:t>
            </w:r>
          </w:p>
        </w:tc>
        <w:tc>
          <w:tcPr>
            <w:tcW w:w="6960" w:type="dxa"/>
          </w:tcPr>
          <w:p w14:paraId="0EE1C4A1" w14:textId="77777777" w:rsidR="00CD4596" w:rsidRDefault="00000000">
            <w:pPr>
              <w:pStyle w:val="TableText"/>
            </w:pPr>
            <w:r>
              <w:t xml:space="preserve">The place-based combination of markets, skills, suppliers, infrastructure, housing, services and rules that </w:t>
            </w:r>
            <w:proofErr w:type="gramStart"/>
            <w:r>
              <w:t>allows</w:t>
            </w:r>
            <w:proofErr w:type="gramEnd"/>
            <w:r>
              <w:t xml:space="preserve"> firms to operate.</w:t>
            </w:r>
          </w:p>
        </w:tc>
      </w:tr>
      <w:tr w:rsidR="00CD4596" w14:paraId="4C46F8A9" w14:textId="77777777">
        <w:trPr>
          <w:cantSplit/>
          <w:jc w:val="center"/>
        </w:trPr>
        <w:tc>
          <w:tcPr>
            <w:tcW w:w="2400" w:type="dxa"/>
            <w:shd w:val="clear" w:color="auto" w:fill="F3F5F4"/>
          </w:tcPr>
          <w:p w14:paraId="0B3F7959" w14:textId="77777777" w:rsidR="00CD4596" w:rsidRDefault="00000000">
            <w:pPr>
              <w:pStyle w:val="TableText"/>
            </w:pPr>
            <w:r>
              <w:rPr>
                <w:b/>
                <w:color w:val="075A2C"/>
              </w:rPr>
              <w:t>Productive output lens</w:t>
            </w:r>
          </w:p>
        </w:tc>
        <w:tc>
          <w:tcPr>
            <w:tcW w:w="6960" w:type="dxa"/>
            <w:shd w:val="clear" w:color="auto" w:fill="F3F5F4"/>
          </w:tcPr>
          <w:p w14:paraId="1D1F13CA" w14:textId="77777777" w:rsidR="00CD4596" w:rsidRDefault="00000000">
            <w:pPr>
              <w:pStyle w:val="TableText"/>
            </w:pPr>
            <w:r>
              <w:t>A multi-criteria test of productivity, value added, FX, linkages, learning, resilience, welfare and durability.</w:t>
            </w:r>
          </w:p>
        </w:tc>
      </w:tr>
      <w:tr w:rsidR="00CD4596" w14:paraId="48732E03" w14:textId="77777777">
        <w:trPr>
          <w:cantSplit/>
          <w:jc w:val="center"/>
        </w:trPr>
        <w:tc>
          <w:tcPr>
            <w:tcW w:w="2400" w:type="dxa"/>
          </w:tcPr>
          <w:p w14:paraId="59BE41C9" w14:textId="77777777" w:rsidR="00CD4596" w:rsidRDefault="00000000">
            <w:pPr>
              <w:pStyle w:val="TableText"/>
            </w:pPr>
            <w:r>
              <w:rPr>
                <w:b/>
                <w:color w:val="075A2C"/>
              </w:rPr>
              <w:t>Project-backed bond</w:t>
            </w:r>
          </w:p>
        </w:tc>
        <w:tc>
          <w:tcPr>
            <w:tcW w:w="6960" w:type="dxa"/>
          </w:tcPr>
          <w:p w14:paraId="72EEA66A" w14:textId="77777777" w:rsidR="00CD4596" w:rsidRDefault="00000000">
            <w:pPr>
              <w:pStyle w:val="TableText"/>
            </w:pPr>
            <w:r>
              <w:t>A debt security whose repayment depends primarily on ring-fenced project cash flows or contracted payments.</w:t>
            </w:r>
          </w:p>
        </w:tc>
      </w:tr>
      <w:tr w:rsidR="00CD4596" w14:paraId="640881BE" w14:textId="77777777">
        <w:trPr>
          <w:cantSplit/>
          <w:jc w:val="center"/>
        </w:trPr>
        <w:tc>
          <w:tcPr>
            <w:tcW w:w="2400" w:type="dxa"/>
            <w:shd w:val="clear" w:color="auto" w:fill="F3F5F4"/>
          </w:tcPr>
          <w:p w14:paraId="05B90C86" w14:textId="77777777" w:rsidR="00CD4596" w:rsidRDefault="00000000">
            <w:pPr>
              <w:pStyle w:val="TableText"/>
            </w:pPr>
            <w:r>
              <w:rPr>
                <w:b/>
                <w:color w:val="075A2C"/>
              </w:rPr>
              <w:t>Resource balance</w:t>
            </w:r>
          </w:p>
        </w:tc>
        <w:tc>
          <w:tcPr>
            <w:tcW w:w="6960" w:type="dxa"/>
            <w:shd w:val="clear" w:color="auto" w:fill="F3F5F4"/>
          </w:tcPr>
          <w:p w14:paraId="27222595" w14:textId="77777777" w:rsidR="00CD4596" w:rsidRDefault="00000000">
            <w:pPr>
              <w:pStyle w:val="TableText"/>
            </w:pPr>
            <w:r>
              <w:t>A quantified comparison of resource supply, demand, quality, timing, losses and environmental limits.</w:t>
            </w:r>
          </w:p>
        </w:tc>
      </w:tr>
      <w:tr w:rsidR="00CD4596" w14:paraId="26AFE75E" w14:textId="77777777">
        <w:trPr>
          <w:cantSplit/>
          <w:jc w:val="center"/>
        </w:trPr>
        <w:tc>
          <w:tcPr>
            <w:tcW w:w="2400" w:type="dxa"/>
          </w:tcPr>
          <w:p w14:paraId="35665434" w14:textId="77777777" w:rsidR="00CD4596" w:rsidRDefault="00000000">
            <w:pPr>
              <w:pStyle w:val="TableText"/>
            </w:pPr>
            <w:r>
              <w:rPr>
                <w:b/>
                <w:color w:val="075A2C"/>
              </w:rPr>
              <w:t>Stewardship</w:t>
            </w:r>
          </w:p>
        </w:tc>
        <w:tc>
          <w:tcPr>
            <w:tcW w:w="6960" w:type="dxa"/>
          </w:tcPr>
          <w:p w14:paraId="31B9243C" w14:textId="77777777" w:rsidR="00CD4596" w:rsidRDefault="00000000">
            <w:pPr>
              <w:pStyle w:val="TableText"/>
            </w:pPr>
            <w:r>
              <w:t>A defined commercial duty to protect long-term value, disclose conflicts, measure results and remain accountable for a project or asset.</w:t>
            </w:r>
          </w:p>
        </w:tc>
      </w:tr>
      <w:tr w:rsidR="00CD4596" w14:paraId="270F523A" w14:textId="77777777">
        <w:trPr>
          <w:cantSplit/>
          <w:jc w:val="center"/>
        </w:trPr>
        <w:tc>
          <w:tcPr>
            <w:tcW w:w="2400" w:type="dxa"/>
            <w:shd w:val="clear" w:color="auto" w:fill="F3F5F4"/>
          </w:tcPr>
          <w:p w14:paraId="454BC542" w14:textId="77777777" w:rsidR="00CD4596" w:rsidRDefault="00000000">
            <w:pPr>
              <w:pStyle w:val="TableText"/>
            </w:pPr>
            <w:r>
              <w:rPr>
                <w:b/>
                <w:color w:val="075A2C"/>
              </w:rPr>
              <w:t>Structural cost</w:t>
            </w:r>
          </w:p>
        </w:tc>
        <w:tc>
          <w:tcPr>
            <w:tcW w:w="6960" w:type="dxa"/>
            <w:shd w:val="clear" w:color="auto" w:fill="F3F5F4"/>
          </w:tcPr>
          <w:p w14:paraId="06DB5317" w14:textId="77777777" w:rsidR="00CD4596" w:rsidRDefault="00000000">
            <w:pPr>
              <w:pStyle w:val="TableText"/>
            </w:pPr>
            <w:r>
              <w:t>A recurring system-wide cost created by weak infrastructure, institutions, market structure or resource inefficiency.</w:t>
            </w:r>
          </w:p>
        </w:tc>
      </w:tr>
      <w:tr w:rsidR="00CD4596" w14:paraId="4A85B25C" w14:textId="77777777">
        <w:trPr>
          <w:cantSplit/>
          <w:jc w:val="center"/>
        </w:trPr>
        <w:tc>
          <w:tcPr>
            <w:tcW w:w="2400" w:type="dxa"/>
          </w:tcPr>
          <w:p w14:paraId="11D24FBE" w14:textId="77777777" w:rsidR="00CD4596" w:rsidRDefault="00000000">
            <w:pPr>
              <w:pStyle w:val="TableText"/>
            </w:pPr>
            <w:r>
              <w:rPr>
                <w:b/>
                <w:color w:val="075A2C"/>
              </w:rPr>
              <w:t>Value chain</w:t>
            </w:r>
          </w:p>
        </w:tc>
        <w:tc>
          <w:tcPr>
            <w:tcW w:w="6960" w:type="dxa"/>
          </w:tcPr>
          <w:p w14:paraId="4C49E93D" w14:textId="77777777" w:rsidR="00CD4596" w:rsidRDefault="00000000">
            <w:pPr>
              <w:pStyle w:val="TableText"/>
            </w:pPr>
            <w:r>
              <w:t xml:space="preserve">The linked activities and organizations that transform </w:t>
            </w:r>
            <w:proofErr w:type="gramStart"/>
            <w:r>
              <w:t>inputs</w:t>
            </w:r>
            <w:proofErr w:type="gramEnd"/>
            <w:r>
              <w:t xml:space="preserve"> into a product or service and deliver it to users.</w:t>
            </w:r>
          </w:p>
        </w:tc>
      </w:tr>
      <w:tr w:rsidR="00CD4596" w14:paraId="2F3DA42B" w14:textId="77777777">
        <w:trPr>
          <w:cantSplit/>
          <w:jc w:val="center"/>
        </w:trPr>
        <w:tc>
          <w:tcPr>
            <w:tcW w:w="2400" w:type="dxa"/>
            <w:shd w:val="clear" w:color="auto" w:fill="F3F5F4"/>
          </w:tcPr>
          <w:p w14:paraId="06184E2A" w14:textId="77777777" w:rsidR="00CD4596" w:rsidRDefault="00000000">
            <w:pPr>
              <w:pStyle w:val="TableText"/>
            </w:pPr>
            <w:r>
              <w:rPr>
                <w:b/>
                <w:color w:val="075A2C"/>
              </w:rPr>
              <w:t>Whole-life cost</w:t>
            </w:r>
          </w:p>
        </w:tc>
        <w:tc>
          <w:tcPr>
            <w:tcW w:w="6960" w:type="dxa"/>
            <w:shd w:val="clear" w:color="auto" w:fill="F3F5F4"/>
          </w:tcPr>
          <w:p w14:paraId="6D7B5375" w14:textId="77777777" w:rsidR="00CD4596" w:rsidRDefault="00000000">
            <w:pPr>
              <w:pStyle w:val="TableText"/>
            </w:pPr>
            <w:r>
              <w:t>Capital, operation, maintenance, financing, renewal and decommissioning cost across an asset’s useful life.</w:t>
            </w:r>
          </w:p>
        </w:tc>
      </w:tr>
    </w:tbl>
    <w:p w14:paraId="6ACFD86A" w14:textId="77777777" w:rsidR="00CD4596" w:rsidRDefault="00000000">
      <w:pPr>
        <w:pStyle w:val="Heading1"/>
        <w:pageBreakBefore/>
        <w:pBdr>
          <w:bottom w:val="single" w:sz="6" w:space="6" w:color="CFE5D7"/>
        </w:pBdr>
      </w:pPr>
      <w:proofErr w:type="gramStart"/>
      <w:r>
        <w:rPr>
          <w:color w:val="2F7D52"/>
        </w:rPr>
        <w:lastRenderedPageBreak/>
        <w:t xml:space="preserve">B  </w:t>
      </w:r>
      <w:r>
        <w:t>Commercial</w:t>
      </w:r>
      <w:proofErr w:type="gramEnd"/>
      <w:r>
        <w:t xml:space="preserve"> Economics evaluation scorecard</w:t>
      </w:r>
    </w:p>
    <w:p w14:paraId="42AE4FB2" w14:textId="77777777" w:rsidR="00CD4596" w:rsidRDefault="00000000">
      <w:pPr>
        <w:pStyle w:val="ChapterSubtitle"/>
      </w:pPr>
      <w:r>
        <w:t>A common screen for comparing very different projects.</w:t>
      </w:r>
    </w:p>
    <w:p w14:paraId="34343CCD" w14:textId="77777777" w:rsidR="00CD4596" w:rsidRDefault="00000000">
      <w:pPr>
        <w:pStyle w:val="BodyText"/>
      </w:pPr>
      <w:r>
        <w:t>Scores support discussion; they do not replace judgment. Each criterion should be rated from 1 (weak or unproven) to 5 (strong evidence), with a confidence grade and written justification. Mandatory legal, safety, water or environmental thresholds cannot be offset by a high total score.</w:t>
      </w:r>
    </w:p>
    <w:tbl>
      <w:tblPr>
        <w:tblW w:w="9360" w:type="dxa"/>
        <w:jc w:val="center"/>
        <w:tblBorders>
          <w:top w:val="single" w:sz="4" w:space="0" w:color="CAD6CF"/>
          <w:left w:val="single" w:sz="4" w:space="0" w:color="CAD6CF"/>
          <w:bottom w:val="single" w:sz="4" w:space="0" w:color="CAD6CF"/>
          <w:right w:val="single" w:sz="4" w:space="0" w:color="CAD6CF"/>
          <w:insideH w:val="single" w:sz="4" w:space="0" w:color="CAD6CF"/>
          <w:insideV w:val="single" w:sz="4" w:space="0" w:color="CAD6CF"/>
        </w:tblBorders>
        <w:tblLayout w:type="fixed"/>
        <w:tblLook w:val="04A0" w:firstRow="1" w:lastRow="0" w:firstColumn="1" w:lastColumn="0" w:noHBand="0" w:noVBand="1"/>
      </w:tblPr>
      <w:tblGrid>
        <w:gridCol w:w="2800"/>
        <w:gridCol w:w="950"/>
        <w:gridCol w:w="5250"/>
        <w:gridCol w:w="360"/>
      </w:tblGrid>
      <w:tr w:rsidR="00CD4596" w14:paraId="6E5F2C3F" w14:textId="77777777">
        <w:trPr>
          <w:tblHeader/>
          <w:jc w:val="center"/>
        </w:trPr>
        <w:tc>
          <w:tcPr>
            <w:tcW w:w="2800" w:type="dxa"/>
            <w:shd w:val="clear" w:color="auto" w:fill="075A2C"/>
            <w:tcMar>
              <w:top w:w="90" w:type="dxa"/>
              <w:left w:w="100" w:type="dxa"/>
              <w:bottom w:w="90" w:type="dxa"/>
              <w:right w:w="100" w:type="dxa"/>
            </w:tcMar>
            <w:vAlign w:val="center"/>
          </w:tcPr>
          <w:p w14:paraId="530D55D8" w14:textId="77777777" w:rsidR="00CD4596" w:rsidRDefault="00000000">
            <w:r>
              <w:rPr>
                <w:b/>
                <w:color w:val="FFFFFF"/>
                <w:sz w:val="17"/>
              </w:rPr>
              <w:t>Criterion</w:t>
            </w:r>
          </w:p>
        </w:tc>
        <w:tc>
          <w:tcPr>
            <w:tcW w:w="950" w:type="dxa"/>
            <w:shd w:val="clear" w:color="auto" w:fill="075A2C"/>
            <w:tcMar>
              <w:top w:w="90" w:type="dxa"/>
              <w:left w:w="100" w:type="dxa"/>
              <w:bottom w:w="90" w:type="dxa"/>
              <w:right w:w="100" w:type="dxa"/>
            </w:tcMar>
            <w:vAlign w:val="center"/>
          </w:tcPr>
          <w:p w14:paraId="41A32359" w14:textId="77777777" w:rsidR="00CD4596" w:rsidRDefault="00000000">
            <w:r>
              <w:rPr>
                <w:b/>
                <w:color w:val="FFFFFF"/>
                <w:sz w:val="17"/>
              </w:rPr>
              <w:t>Weight</w:t>
            </w:r>
          </w:p>
        </w:tc>
        <w:tc>
          <w:tcPr>
            <w:tcW w:w="5610" w:type="dxa"/>
            <w:gridSpan w:val="2"/>
            <w:shd w:val="clear" w:color="auto" w:fill="075A2C"/>
            <w:tcMar>
              <w:top w:w="90" w:type="dxa"/>
              <w:left w:w="100" w:type="dxa"/>
              <w:bottom w:w="90" w:type="dxa"/>
              <w:right w:w="100" w:type="dxa"/>
            </w:tcMar>
            <w:vAlign w:val="center"/>
          </w:tcPr>
          <w:p w14:paraId="2A8FEC0B" w14:textId="77777777" w:rsidR="00CD4596" w:rsidRDefault="00000000">
            <w:r>
              <w:rPr>
                <w:b/>
                <w:color w:val="FFFFFF"/>
                <w:sz w:val="17"/>
              </w:rPr>
              <w:t>Evidence prompt</w:t>
            </w:r>
          </w:p>
        </w:tc>
      </w:tr>
      <w:tr w:rsidR="00CD4596" w14:paraId="7CC51970" w14:textId="77777777">
        <w:trPr>
          <w:cantSplit/>
          <w:jc w:val="center"/>
        </w:trPr>
        <w:tc>
          <w:tcPr>
            <w:tcW w:w="2800" w:type="dxa"/>
          </w:tcPr>
          <w:p w14:paraId="54316D50" w14:textId="77777777" w:rsidR="00CD4596" w:rsidRDefault="00000000">
            <w:pPr>
              <w:pStyle w:val="TableText"/>
            </w:pPr>
            <w:r>
              <w:rPr>
                <w:b/>
                <w:color w:val="075A2C"/>
              </w:rPr>
              <w:t>Customer and demand</w:t>
            </w:r>
          </w:p>
        </w:tc>
        <w:tc>
          <w:tcPr>
            <w:tcW w:w="950" w:type="dxa"/>
          </w:tcPr>
          <w:p w14:paraId="073B7CCB" w14:textId="77777777" w:rsidR="00CD4596" w:rsidRDefault="00000000">
            <w:pPr>
              <w:pStyle w:val="TableText"/>
            </w:pPr>
            <w:r>
              <w:t>15%</w:t>
            </w:r>
          </w:p>
        </w:tc>
        <w:tc>
          <w:tcPr>
            <w:tcW w:w="5610" w:type="dxa"/>
            <w:gridSpan w:val="2"/>
          </w:tcPr>
          <w:p w14:paraId="102F2C59" w14:textId="77777777" w:rsidR="00CD4596" w:rsidRDefault="00000000">
            <w:pPr>
              <w:pStyle w:val="TableText"/>
            </w:pPr>
            <w:r>
              <w:t>Named users, willingness to pay, alternatives, downside case and offtake quality.</w:t>
            </w:r>
          </w:p>
        </w:tc>
      </w:tr>
      <w:tr w:rsidR="00CD4596" w14:paraId="1480C086" w14:textId="77777777">
        <w:trPr>
          <w:cantSplit/>
          <w:jc w:val="center"/>
        </w:trPr>
        <w:tc>
          <w:tcPr>
            <w:tcW w:w="2800" w:type="dxa"/>
            <w:shd w:val="clear" w:color="auto" w:fill="F3F5F4"/>
          </w:tcPr>
          <w:p w14:paraId="306DC5FD" w14:textId="77777777" w:rsidR="00CD4596" w:rsidRDefault="00000000">
            <w:pPr>
              <w:pStyle w:val="TableText"/>
            </w:pPr>
            <w:r>
              <w:rPr>
                <w:b/>
                <w:color w:val="075A2C"/>
              </w:rPr>
              <w:t>Technical and operating feasibility</w:t>
            </w:r>
          </w:p>
        </w:tc>
        <w:tc>
          <w:tcPr>
            <w:tcW w:w="950" w:type="dxa"/>
            <w:shd w:val="clear" w:color="auto" w:fill="F3F5F4"/>
          </w:tcPr>
          <w:p w14:paraId="7E514EC0" w14:textId="77777777" w:rsidR="00CD4596" w:rsidRDefault="00000000">
            <w:pPr>
              <w:pStyle w:val="TableText"/>
            </w:pPr>
            <w:r>
              <w:t>15%</w:t>
            </w:r>
          </w:p>
        </w:tc>
        <w:tc>
          <w:tcPr>
            <w:tcW w:w="5610" w:type="dxa"/>
            <w:gridSpan w:val="2"/>
            <w:shd w:val="clear" w:color="auto" w:fill="F3F5F4"/>
          </w:tcPr>
          <w:p w14:paraId="104725C5" w14:textId="77777777" w:rsidR="00CD4596" w:rsidRDefault="00000000">
            <w:pPr>
              <w:pStyle w:val="TableText"/>
            </w:pPr>
            <w:r>
              <w:t>Technology readiness, inputs, maintenance, staffing, standards and delivery plan.</w:t>
            </w:r>
          </w:p>
        </w:tc>
      </w:tr>
      <w:tr w:rsidR="00CD4596" w14:paraId="3525F161" w14:textId="77777777">
        <w:trPr>
          <w:cantSplit/>
          <w:jc w:val="center"/>
        </w:trPr>
        <w:tc>
          <w:tcPr>
            <w:tcW w:w="2800" w:type="dxa"/>
          </w:tcPr>
          <w:p w14:paraId="2A6692DF" w14:textId="77777777" w:rsidR="00CD4596" w:rsidRDefault="00000000">
            <w:pPr>
              <w:pStyle w:val="TableText"/>
            </w:pPr>
            <w:r>
              <w:rPr>
                <w:b/>
                <w:color w:val="075A2C"/>
              </w:rPr>
              <w:t>Productivity and learning</w:t>
            </w:r>
          </w:p>
        </w:tc>
        <w:tc>
          <w:tcPr>
            <w:tcW w:w="950" w:type="dxa"/>
          </w:tcPr>
          <w:p w14:paraId="3C1D45B6" w14:textId="77777777" w:rsidR="00CD4596" w:rsidRDefault="00000000">
            <w:pPr>
              <w:pStyle w:val="TableText"/>
            </w:pPr>
            <w:r>
              <w:t>10%</w:t>
            </w:r>
          </w:p>
        </w:tc>
        <w:tc>
          <w:tcPr>
            <w:tcW w:w="5610" w:type="dxa"/>
            <w:gridSpan w:val="2"/>
          </w:tcPr>
          <w:p w14:paraId="4A0822A5" w14:textId="77777777" w:rsidR="00CD4596" w:rsidRDefault="00000000">
            <w:pPr>
              <w:pStyle w:val="TableText"/>
            </w:pPr>
            <w:r>
              <w:t>Measured efficiency gain and reusable capability.</w:t>
            </w:r>
          </w:p>
        </w:tc>
      </w:tr>
      <w:tr w:rsidR="00CD4596" w14:paraId="621F48B0" w14:textId="77777777">
        <w:trPr>
          <w:cantSplit/>
          <w:jc w:val="center"/>
        </w:trPr>
        <w:tc>
          <w:tcPr>
            <w:tcW w:w="2800" w:type="dxa"/>
            <w:shd w:val="clear" w:color="auto" w:fill="F3F5F4"/>
          </w:tcPr>
          <w:p w14:paraId="0BA9DD20" w14:textId="77777777" w:rsidR="00CD4596" w:rsidRDefault="00000000">
            <w:pPr>
              <w:pStyle w:val="TableText"/>
            </w:pPr>
            <w:r>
              <w:rPr>
                <w:b/>
                <w:color w:val="075A2C"/>
              </w:rPr>
              <w:t>Domestic value and linkages</w:t>
            </w:r>
          </w:p>
        </w:tc>
        <w:tc>
          <w:tcPr>
            <w:tcW w:w="950" w:type="dxa"/>
            <w:shd w:val="clear" w:color="auto" w:fill="F3F5F4"/>
          </w:tcPr>
          <w:p w14:paraId="0E94C1A9" w14:textId="77777777" w:rsidR="00CD4596" w:rsidRDefault="00000000">
            <w:pPr>
              <w:pStyle w:val="TableText"/>
            </w:pPr>
            <w:r>
              <w:t>10%</w:t>
            </w:r>
          </w:p>
        </w:tc>
        <w:tc>
          <w:tcPr>
            <w:tcW w:w="5610" w:type="dxa"/>
            <w:gridSpan w:val="2"/>
            <w:shd w:val="clear" w:color="auto" w:fill="F3F5F4"/>
          </w:tcPr>
          <w:p w14:paraId="7BD62A3C" w14:textId="77777777" w:rsidR="00CD4596" w:rsidRDefault="00000000">
            <w:pPr>
              <w:pStyle w:val="TableText"/>
            </w:pPr>
            <w:r>
              <w:t>Retained value, supplier depth and realistic localization path.</w:t>
            </w:r>
          </w:p>
        </w:tc>
      </w:tr>
      <w:tr w:rsidR="00CD4596" w14:paraId="52C575B4" w14:textId="77777777">
        <w:trPr>
          <w:cantSplit/>
          <w:jc w:val="center"/>
        </w:trPr>
        <w:tc>
          <w:tcPr>
            <w:tcW w:w="2800" w:type="dxa"/>
          </w:tcPr>
          <w:p w14:paraId="653482BE" w14:textId="77777777" w:rsidR="00CD4596" w:rsidRDefault="00000000">
            <w:pPr>
              <w:pStyle w:val="TableText"/>
            </w:pPr>
            <w:r>
              <w:rPr>
                <w:b/>
                <w:color w:val="075A2C"/>
              </w:rPr>
              <w:t>Foreign-exchange contribution</w:t>
            </w:r>
          </w:p>
        </w:tc>
        <w:tc>
          <w:tcPr>
            <w:tcW w:w="950" w:type="dxa"/>
          </w:tcPr>
          <w:p w14:paraId="2A88A810" w14:textId="77777777" w:rsidR="00CD4596" w:rsidRDefault="00000000">
            <w:pPr>
              <w:pStyle w:val="TableText"/>
            </w:pPr>
            <w:r>
              <w:t>10%</w:t>
            </w:r>
          </w:p>
        </w:tc>
        <w:tc>
          <w:tcPr>
            <w:tcW w:w="5610" w:type="dxa"/>
            <w:gridSpan w:val="2"/>
          </w:tcPr>
          <w:p w14:paraId="57A43D03" w14:textId="77777777" w:rsidR="00CD4596" w:rsidRDefault="00000000">
            <w:pPr>
              <w:pStyle w:val="TableText"/>
            </w:pPr>
            <w:r>
              <w:t>Quarterly requirements, earnings/savings, sensitivity and hedging.</w:t>
            </w:r>
          </w:p>
        </w:tc>
      </w:tr>
      <w:tr w:rsidR="00CD4596" w14:paraId="16DF91B7" w14:textId="77777777">
        <w:trPr>
          <w:cantSplit/>
          <w:jc w:val="center"/>
        </w:trPr>
        <w:tc>
          <w:tcPr>
            <w:tcW w:w="2800" w:type="dxa"/>
            <w:shd w:val="clear" w:color="auto" w:fill="F3F5F4"/>
          </w:tcPr>
          <w:p w14:paraId="7C415D84" w14:textId="77777777" w:rsidR="00CD4596" w:rsidRDefault="00000000">
            <w:pPr>
              <w:pStyle w:val="TableText"/>
            </w:pPr>
            <w:r>
              <w:rPr>
                <w:b/>
                <w:color w:val="075A2C"/>
              </w:rPr>
              <w:t>Financial and fiscal durability</w:t>
            </w:r>
          </w:p>
        </w:tc>
        <w:tc>
          <w:tcPr>
            <w:tcW w:w="950" w:type="dxa"/>
            <w:shd w:val="clear" w:color="auto" w:fill="F3F5F4"/>
          </w:tcPr>
          <w:p w14:paraId="72AD9D11" w14:textId="77777777" w:rsidR="00CD4596" w:rsidRDefault="00000000">
            <w:pPr>
              <w:pStyle w:val="TableText"/>
            </w:pPr>
            <w:r>
              <w:t>15%</w:t>
            </w:r>
          </w:p>
        </w:tc>
        <w:tc>
          <w:tcPr>
            <w:tcW w:w="5610" w:type="dxa"/>
            <w:gridSpan w:val="2"/>
            <w:shd w:val="clear" w:color="auto" w:fill="F3F5F4"/>
          </w:tcPr>
          <w:p w14:paraId="096F88CB" w14:textId="77777777" w:rsidR="00CD4596" w:rsidRDefault="00000000">
            <w:pPr>
              <w:pStyle w:val="TableText"/>
            </w:pPr>
            <w:r>
              <w:t>Whole-life cash flow, financing fit, contingent liability and liquidity.</w:t>
            </w:r>
          </w:p>
        </w:tc>
      </w:tr>
      <w:tr w:rsidR="00CD4596" w14:paraId="37CF6AE5" w14:textId="77777777">
        <w:trPr>
          <w:cantSplit/>
          <w:jc w:val="center"/>
        </w:trPr>
        <w:tc>
          <w:tcPr>
            <w:tcW w:w="2800" w:type="dxa"/>
          </w:tcPr>
          <w:p w14:paraId="19E5D547" w14:textId="77777777" w:rsidR="00CD4596" w:rsidRDefault="00000000">
            <w:pPr>
              <w:pStyle w:val="TableText"/>
            </w:pPr>
            <w:r>
              <w:rPr>
                <w:b/>
                <w:color w:val="075A2C"/>
              </w:rPr>
              <w:t>People and place</w:t>
            </w:r>
          </w:p>
        </w:tc>
        <w:tc>
          <w:tcPr>
            <w:tcW w:w="950" w:type="dxa"/>
          </w:tcPr>
          <w:p w14:paraId="2133B653" w14:textId="77777777" w:rsidR="00CD4596" w:rsidRDefault="00000000">
            <w:pPr>
              <w:pStyle w:val="TableText"/>
            </w:pPr>
            <w:r>
              <w:t>10%</w:t>
            </w:r>
          </w:p>
        </w:tc>
        <w:tc>
          <w:tcPr>
            <w:tcW w:w="5610" w:type="dxa"/>
            <w:gridSpan w:val="2"/>
          </w:tcPr>
          <w:p w14:paraId="57E64419" w14:textId="77777777" w:rsidR="00CD4596" w:rsidRDefault="00000000">
            <w:pPr>
              <w:pStyle w:val="TableText"/>
            </w:pPr>
            <w:r>
              <w:t>Jobs, wages, safety, access, housing, mobility and distribution.</w:t>
            </w:r>
          </w:p>
        </w:tc>
      </w:tr>
      <w:tr w:rsidR="00CD4596" w14:paraId="275592F9" w14:textId="77777777">
        <w:trPr>
          <w:cantSplit/>
          <w:jc w:val="center"/>
        </w:trPr>
        <w:tc>
          <w:tcPr>
            <w:tcW w:w="2800" w:type="dxa"/>
            <w:shd w:val="clear" w:color="auto" w:fill="F3F5F4"/>
          </w:tcPr>
          <w:p w14:paraId="2B4497AD" w14:textId="77777777" w:rsidR="00CD4596" w:rsidRDefault="00000000">
            <w:pPr>
              <w:pStyle w:val="TableText"/>
            </w:pPr>
            <w:r>
              <w:rPr>
                <w:b/>
                <w:color w:val="075A2C"/>
              </w:rPr>
              <w:t>Environment and resources</w:t>
            </w:r>
          </w:p>
        </w:tc>
        <w:tc>
          <w:tcPr>
            <w:tcW w:w="950" w:type="dxa"/>
            <w:shd w:val="clear" w:color="auto" w:fill="F3F5F4"/>
          </w:tcPr>
          <w:p w14:paraId="017BA271" w14:textId="77777777" w:rsidR="00CD4596" w:rsidRDefault="00000000">
            <w:pPr>
              <w:pStyle w:val="TableText"/>
            </w:pPr>
            <w:r>
              <w:t>10%</w:t>
            </w:r>
          </w:p>
        </w:tc>
        <w:tc>
          <w:tcPr>
            <w:tcW w:w="5610" w:type="dxa"/>
            <w:gridSpan w:val="2"/>
            <w:shd w:val="clear" w:color="auto" w:fill="F3F5F4"/>
          </w:tcPr>
          <w:p w14:paraId="7F136D50" w14:textId="77777777" w:rsidR="00CD4596" w:rsidRDefault="00000000">
            <w:pPr>
              <w:pStyle w:val="TableText"/>
            </w:pPr>
            <w:r>
              <w:t>Water, energy, emissions, waste, land and compliance.</w:t>
            </w:r>
          </w:p>
        </w:tc>
      </w:tr>
      <w:tr w:rsidR="00CD4596" w14:paraId="52B8E368" w14:textId="77777777">
        <w:trPr>
          <w:cantSplit/>
          <w:jc w:val="center"/>
        </w:trPr>
        <w:tc>
          <w:tcPr>
            <w:tcW w:w="2800" w:type="dxa"/>
          </w:tcPr>
          <w:p w14:paraId="18F411AF" w14:textId="77777777" w:rsidR="00CD4596" w:rsidRDefault="00000000">
            <w:pPr>
              <w:pStyle w:val="TableText"/>
            </w:pPr>
            <w:r>
              <w:rPr>
                <w:b/>
                <w:color w:val="075A2C"/>
              </w:rPr>
              <w:t>Governance and additionality</w:t>
            </w:r>
          </w:p>
        </w:tc>
        <w:tc>
          <w:tcPr>
            <w:tcW w:w="950" w:type="dxa"/>
          </w:tcPr>
          <w:p w14:paraId="66571507" w14:textId="77777777" w:rsidR="00CD4596" w:rsidRDefault="00000000">
            <w:pPr>
              <w:pStyle w:val="TableText"/>
            </w:pPr>
            <w:r>
              <w:t>5%</w:t>
            </w:r>
          </w:p>
        </w:tc>
        <w:tc>
          <w:tcPr>
            <w:tcW w:w="5610" w:type="dxa"/>
            <w:gridSpan w:val="2"/>
          </w:tcPr>
          <w:p w14:paraId="35CE9F0F" w14:textId="77777777" w:rsidR="00CD4596" w:rsidRDefault="00000000">
            <w:pPr>
              <w:pStyle w:val="TableText"/>
            </w:pPr>
            <w:r>
              <w:t>Roles, transparency, competition, data, evaluation and reason for intervention.</w:t>
            </w:r>
          </w:p>
        </w:tc>
      </w:tr>
      <w:tr w:rsidR="00CD4596" w14:paraId="22331C4F" w14:textId="77777777">
        <w:tblPrEx>
          <w:tblBorders>
            <w:top w:val="single" w:sz="8" w:space="0" w:color="2F7D52"/>
            <w:left w:val="single" w:sz="8" w:space="0" w:color="2F7D52"/>
            <w:bottom w:val="single" w:sz="8" w:space="0" w:color="2F7D52"/>
            <w:right w:val="single" w:sz="8" w:space="0" w:color="2F7D52"/>
            <w:insideH w:val="single" w:sz="8" w:space="0" w:color="2F7D52"/>
            <w:insideV w:val="single" w:sz="8" w:space="0" w:color="2F7D52"/>
          </w:tblBorders>
        </w:tblPrEx>
        <w:trPr>
          <w:gridAfter w:val="1"/>
          <w:wAfter w:w="175" w:type="dxa"/>
          <w:jc w:val="center"/>
        </w:trPr>
        <w:tc>
          <w:tcPr>
            <w:tcW w:w="9000" w:type="dxa"/>
            <w:gridSpan w:val="3"/>
            <w:shd w:val="clear" w:color="auto" w:fill="F3F5F4"/>
            <w:tcMar>
              <w:top w:w="90" w:type="dxa"/>
              <w:left w:w="100" w:type="dxa"/>
              <w:bottom w:w="90" w:type="dxa"/>
              <w:right w:w="100" w:type="dxa"/>
            </w:tcMar>
            <w:vAlign w:val="center"/>
          </w:tcPr>
          <w:p w14:paraId="19F8E845" w14:textId="77777777" w:rsidR="00CD4596" w:rsidRDefault="00000000">
            <w:pPr>
              <w:spacing w:after="80"/>
            </w:pPr>
            <w:r>
              <w:rPr>
                <w:b/>
                <w:color w:val="075A2C"/>
                <w:sz w:val="17"/>
              </w:rPr>
              <w:t>SUGGESTED DECISION BANDS</w:t>
            </w:r>
          </w:p>
          <w:p w14:paraId="7CF37096" w14:textId="77777777" w:rsidR="00CD4596" w:rsidRDefault="00000000">
            <w:pPr>
              <w:pStyle w:val="Callout"/>
            </w:pPr>
            <w:r>
              <w:t>Proceed to full feasibility only when no mandatory threshold is breached and evidence confidence is adequate. Use the score to identify research gaps, not to manufacture certainty.</w:t>
            </w:r>
          </w:p>
        </w:tc>
      </w:tr>
    </w:tbl>
    <w:p w14:paraId="1DD1D93E" w14:textId="77777777" w:rsidR="00CD4596" w:rsidRDefault="00000000">
      <w:pPr>
        <w:pStyle w:val="Heading1"/>
        <w:pageBreakBefore/>
        <w:pBdr>
          <w:bottom w:val="single" w:sz="6" w:space="6" w:color="CFE5D7"/>
        </w:pBdr>
      </w:pPr>
      <w:proofErr w:type="gramStart"/>
      <w:r>
        <w:rPr>
          <w:color w:val="2F7D52"/>
        </w:rPr>
        <w:lastRenderedPageBreak/>
        <w:t xml:space="preserve">R  </w:t>
      </w:r>
      <w:r>
        <w:t>References</w:t>
      </w:r>
      <w:proofErr w:type="gramEnd"/>
    </w:p>
    <w:p w14:paraId="1687F17F" w14:textId="77777777" w:rsidR="00CD4596" w:rsidRDefault="00000000">
      <w:pPr>
        <w:pStyle w:val="ChapterSubtitle"/>
      </w:pPr>
      <w:r>
        <w:t>Selected primary and authoritative sources used to position and test the framework.</w:t>
      </w:r>
    </w:p>
    <w:p w14:paraId="78486408" w14:textId="77777777" w:rsidR="00CD4596" w:rsidRDefault="00000000">
      <w:pPr>
        <w:pStyle w:val="BodyText"/>
      </w:pPr>
      <w:r>
        <w:t>The source manuscript supplied by Youth Technologies is the primary source for the proposed Commercial Economics concepts. The references below provide historical context, established analytical foundations and implementation safeguards. Inclusion does not imply that the cited institutions endorse Commercial Economics.</w:t>
      </w:r>
    </w:p>
    <w:p w14:paraId="0C329161" w14:textId="77777777" w:rsidR="00CD4596" w:rsidRDefault="00000000">
      <w:pPr>
        <w:pStyle w:val="Reference"/>
      </w:pPr>
      <w:r>
        <w:rPr>
          <w:b/>
        </w:rPr>
        <w:t xml:space="preserve">[1] </w:t>
      </w:r>
      <w:r>
        <w:t xml:space="preserve">Alexander Hamilton, Report </w:t>
      </w:r>
      <w:proofErr w:type="gramStart"/>
      <w:r>
        <w:t>on the Subject of Manufactures</w:t>
      </w:r>
      <w:proofErr w:type="gramEnd"/>
      <w:r>
        <w:t xml:space="preserve"> (1791), excerpt hosted by the National Humanities Center. </w:t>
      </w:r>
      <w:hyperlink r:id="rId63">
        <w:r w:rsidR="00CD4596">
          <w:rPr>
            <w:color w:val="075A2C"/>
            <w:sz w:val="18"/>
            <w:u w:val="single"/>
          </w:rPr>
          <w:t>Source</w:t>
        </w:r>
      </w:hyperlink>
    </w:p>
    <w:p w14:paraId="0AFFDD21" w14:textId="77777777" w:rsidR="00CD4596" w:rsidRDefault="00000000">
      <w:pPr>
        <w:pStyle w:val="Reference"/>
      </w:pPr>
      <w:r>
        <w:rPr>
          <w:b/>
        </w:rPr>
        <w:t xml:space="preserve">[2] </w:t>
      </w:r>
      <w:r>
        <w:t xml:space="preserve">Friedrich List, The National System of Political Economy (1841), Library of Economics and Liberty. </w:t>
      </w:r>
      <w:hyperlink r:id="rId64">
        <w:r w:rsidR="00CD4596">
          <w:rPr>
            <w:color w:val="075A2C"/>
            <w:sz w:val="18"/>
            <w:u w:val="single"/>
          </w:rPr>
          <w:t>Source</w:t>
        </w:r>
      </w:hyperlink>
    </w:p>
    <w:p w14:paraId="14D2F8E2" w14:textId="77777777" w:rsidR="00CD4596" w:rsidRDefault="00000000">
      <w:pPr>
        <w:pStyle w:val="Reference"/>
      </w:pPr>
      <w:r>
        <w:rPr>
          <w:b/>
        </w:rPr>
        <w:t xml:space="preserve">[3] </w:t>
      </w:r>
      <w:r>
        <w:t xml:space="preserve">National Diet Library, Japan, The Meiji Restoration and Modernization. </w:t>
      </w:r>
      <w:hyperlink r:id="rId65">
        <w:r w:rsidR="00CD4596">
          <w:rPr>
            <w:color w:val="075A2C"/>
            <w:sz w:val="18"/>
            <w:u w:val="single"/>
          </w:rPr>
          <w:t>Source</w:t>
        </w:r>
      </w:hyperlink>
    </w:p>
    <w:p w14:paraId="7CA2AAEC" w14:textId="77777777" w:rsidR="00CD4596" w:rsidRDefault="00000000">
      <w:pPr>
        <w:pStyle w:val="Reference"/>
      </w:pPr>
      <w:r>
        <w:rPr>
          <w:b/>
        </w:rPr>
        <w:t xml:space="preserve">[4] </w:t>
      </w:r>
      <w:r>
        <w:t xml:space="preserve">World Bank, The East Asian Miracle: Economic Growth and Public Policy (1993). </w:t>
      </w:r>
      <w:hyperlink r:id="rId66">
        <w:r w:rsidR="00CD4596">
          <w:rPr>
            <w:color w:val="075A2C"/>
            <w:sz w:val="18"/>
            <w:u w:val="single"/>
          </w:rPr>
          <w:t>Source</w:t>
        </w:r>
      </w:hyperlink>
    </w:p>
    <w:p w14:paraId="0784221D" w14:textId="77777777" w:rsidR="00CD4596" w:rsidRDefault="00000000">
      <w:pPr>
        <w:pStyle w:val="Reference"/>
      </w:pPr>
      <w:r>
        <w:rPr>
          <w:b/>
        </w:rPr>
        <w:t xml:space="preserve">[5] </w:t>
      </w:r>
      <w:r>
        <w:t xml:space="preserve">World Bank, Reflections on Forty Years of China’s Reforms (2018). </w:t>
      </w:r>
      <w:hyperlink r:id="rId67">
        <w:r w:rsidR="00CD4596">
          <w:rPr>
            <w:color w:val="075A2C"/>
            <w:sz w:val="18"/>
            <w:u w:val="single"/>
          </w:rPr>
          <w:t>Source</w:t>
        </w:r>
      </w:hyperlink>
    </w:p>
    <w:p w14:paraId="731D681B" w14:textId="77777777" w:rsidR="00CD4596" w:rsidRDefault="00000000">
      <w:pPr>
        <w:pStyle w:val="Reference"/>
      </w:pPr>
      <w:r>
        <w:rPr>
          <w:b/>
        </w:rPr>
        <w:t xml:space="preserve">[6] </w:t>
      </w:r>
      <w:r>
        <w:t xml:space="preserve">U.S. National Archives, The Great Depression and New Deal. </w:t>
      </w:r>
      <w:hyperlink r:id="rId68">
        <w:r w:rsidR="00CD4596">
          <w:rPr>
            <w:color w:val="075A2C"/>
            <w:sz w:val="18"/>
            <w:u w:val="single"/>
          </w:rPr>
          <w:t>Source</w:t>
        </w:r>
      </w:hyperlink>
    </w:p>
    <w:p w14:paraId="4A2FCF24" w14:textId="77777777" w:rsidR="00CD4596" w:rsidRDefault="00000000">
      <w:pPr>
        <w:pStyle w:val="Reference"/>
      </w:pPr>
      <w:r>
        <w:rPr>
          <w:b/>
        </w:rPr>
        <w:t xml:space="preserve">[7] </w:t>
      </w:r>
      <w:r>
        <w:t xml:space="preserve">OECD, The Marshall Plan: Lessons Learned for the 21st Century (2008). </w:t>
      </w:r>
      <w:hyperlink r:id="rId69">
        <w:r w:rsidR="00CD4596">
          <w:rPr>
            <w:color w:val="075A2C"/>
            <w:sz w:val="18"/>
            <w:u w:val="single"/>
          </w:rPr>
          <w:t>Source</w:t>
        </w:r>
      </w:hyperlink>
    </w:p>
    <w:p w14:paraId="272A7152" w14:textId="77777777" w:rsidR="00CD4596" w:rsidRDefault="00000000">
      <w:pPr>
        <w:pStyle w:val="Reference"/>
      </w:pPr>
      <w:r>
        <w:rPr>
          <w:b/>
        </w:rPr>
        <w:t xml:space="preserve">[8] </w:t>
      </w:r>
      <w:r>
        <w:t xml:space="preserve">World Bank, World Bank Loans and Japan’s Economic Recovery. </w:t>
      </w:r>
      <w:hyperlink r:id="rId70">
        <w:r w:rsidR="00CD4596">
          <w:rPr>
            <w:color w:val="075A2C"/>
            <w:sz w:val="18"/>
            <w:u w:val="single"/>
          </w:rPr>
          <w:t>Source</w:t>
        </w:r>
      </w:hyperlink>
    </w:p>
    <w:p w14:paraId="224A1714" w14:textId="77777777" w:rsidR="00CD4596" w:rsidRDefault="00000000">
      <w:pPr>
        <w:pStyle w:val="Reference"/>
      </w:pPr>
      <w:r>
        <w:rPr>
          <w:b/>
        </w:rPr>
        <w:t xml:space="preserve">[9] </w:t>
      </w:r>
      <w:r>
        <w:t xml:space="preserve">Mark Harrison, Forging Success: Soviet Managers and Accounting Fraud, 1943–1962 (post-war reconstruction evidence). </w:t>
      </w:r>
      <w:hyperlink r:id="rId71">
        <w:r w:rsidR="00CD4596">
          <w:rPr>
            <w:color w:val="075A2C"/>
            <w:sz w:val="18"/>
            <w:u w:val="single"/>
          </w:rPr>
          <w:t>Source</w:t>
        </w:r>
      </w:hyperlink>
    </w:p>
    <w:p w14:paraId="0F642E43" w14:textId="77777777" w:rsidR="00CD4596" w:rsidRDefault="00000000">
      <w:pPr>
        <w:pStyle w:val="Reference"/>
      </w:pPr>
      <w:r>
        <w:rPr>
          <w:b/>
        </w:rPr>
        <w:t xml:space="preserve">[10] </w:t>
      </w:r>
      <w:r>
        <w:t xml:space="preserve">UNIDO, Industrial Development Report 2024: Turning Challenges into Sustainable Solutions. </w:t>
      </w:r>
      <w:hyperlink r:id="rId72">
        <w:r w:rsidR="00CD4596">
          <w:rPr>
            <w:color w:val="075A2C"/>
            <w:sz w:val="18"/>
            <w:u w:val="single"/>
          </w:rPr>
          <w:t>Source</w:t>
        </w:r>
      </w:hyperlink>
    </w:p>
    <w:p w14:paraId="114F8B92" w14:textId="77777777" w:rsidR="00CD4596" w:rsidRDefault="00000000">
      <w:pPr>
        <w:pStyle w:val="Reference"/>
      </w:pPr>
      <w:r>
        <w:rPr>
          <w:b/>
        </w:rPr>
        <w:t xml:space="preserve">[11] </w:t>
      </w:r>
      <w:r>
        <w:t xml:space="preserve">World Bank, World Development Report 2020: Trading for Development in the Age of Global Value Chains. </w:t>
      </w:r>
      <w:hyperlink r:id="rId73">
        <w:r w:rsidR="00CD4596">
          <w:rPr>
            <w:color w:val="075A2C"/>
            <w:sz w:val="18"/>
            <w:u w:val="single"/>
          </w:rPr>
          <w:t>Source</w:t>
        </w:r>
      </w:hyperlink>
    </w:p>
    <w:p w14:paraId="33AA219A" w14:textId="77777777" w:rsidR="00CD4596" w:rsidRDefault="00000000">
      <w:pPr>
        <w:pStyle w:val="Reference"/>
      </w:pPr>
      <w:r>
        <w:rPr>
          <w:b/>
        </w:rPr>
        <w:t xml:space="preserve">[12] </w:t>
      </w:r>
      <w:r>
        <w:t xml:space="preserve">César A. Hidalgo and Ricardo Hausmann, The Building Blocks of Economic Complexity, Proceedings of the National Academy of Sciences (2009). </w:t>
      </w:r>
      <w:hyperlink r:id="rId74">
        <w:r w:rsidR="00CD4596">
          <w:rPr>
            <w:color w:val="075A2C"/>
            <w:sz w:val="18"/>
            <w:u w:val="single"/>
          </w:rPr>
          <w:t>Source</w:t>
        </w:r>
      </w:hyperlink>
    </w:p>
    <w:p w14:paraId="20D7E850" w14:textId="77777777" w:rsidR="00CD4596" w:rsidRDefault="00000000">
      <w:pPr>
        <w:pStyle w:val="Reference"/>
      </w:pPr>
      <w:r>
        <w:rPr>
          <w:b/>
        </w:rPr>
        <w:t xml:space="preserve">[13] </w:t>
      </w:r>
      <w:r>
        <w:t xml:space="preserve">OECD, Industrial Policy Handbook (2026). </w:t>
      </w:r>
      <w:hyperlink r:id="rId75">
        <w:r w:rsidR="00CD4596">
          <w:rPr>
            <w:color w:val="075A2C"/>
            <w:sz w:val="18"/>
            <w:u w:val="single"/>
          </w:rPr>
          <w:t>Source</w:t>
        </w:r>
      </w:hyperlink>
    </w:p>
    <w:p w14:paraId="15F816F6" w14:textId="77777777" w:rsidR="00CD4596" w:rsidRDefault="00000000">
      <w:pPr>
        <w:pStyle w:val="Reference"/>
      </w:pPr>
      <w:r>
        <w:rPr>
          <w:b/>
        </w:rPr>
        <w:t xml:space="preserve">[14] </w:t>
      </w:r>
      <w:r>
        <w:t xml:space="preserve">World Bank, Industrial Policy for Development (2026). </w:t>
      </w:r>
      <w:hyperlink r:id="rId76">
        <w:r w:rsidR="00CD4596">
          <w:rPr>
            <w:color w:val="075A2C"/>
            <w:sz w:val="18"/>
            <w:u w:val="single"/>
          </w:rPr>
          <w:t>Source</w:t>
        </w:r>
      </w:hyperlink>
    </w:p>
    <w:p w14:paraId="6995A34C" w14:textId="77777777" w:rsidR="00CD4596" w:rsidRDefault="00000000">
      <w:pPr>
        <w:pStyle w:val="Reference"/>
      </w:pPr>
      <w:r>
        <w:rPr>
          <w:b/>
        </w:rPr>
        <w:t xml:space="preserve">[15] </w:t>
      </w:r>
      <w:r>
        <w:t xml:space="preserve">Bank for International Settlements, The Inflation Outlook and Monetary Policy (2023). </w:t>
      </w:r>
      <w:hyperlink r:id="rId77">
        <w:r w:rsidR="00CD4596">
          <w:rPr>
            <w:color w:val="075A2C"/>
            <w:sz w:val="18"/>
            <w:u w:val="single"/>
          </w:rPr>
          <w:t>Source</w:t>
        </w:r>
      </w:hyperlink>
    </w:p>
    <w:p w14:paraId="2CA682D6" w14:textId="77777777" w:rsidR="00CD4596" w:rsidRDefault="00000000">
      <w:pPr>
        <w:pStyle w:val="Reference"/>
      </w:pPr>
      <w:r>
        <w:rPr>
          <w:b/>
        </w:rPr>
        <w:t xml:space="preserve">[16] </w:t>
      </w:r>
      <w:r>
        <w:t xml:space="preserve">Bank of England, </w:t>
      </w:r>
      <w:proofErr w:type="gramStart"/>
      <w:r>
        <w:t>About</w:t>
      </w:r>
      <w:proofErr w:type="gramEnd"/>
      <w:r>
        <w:t xml:space="preserve"> a Rate of (General) Interest: How Monetary Policy Transmits (2024). </w:t>
      </w:r>
      <w:hyperlink r:id="rId78">
        <w:r w:rsidR="00CD4596">
          <w:rPr>
            <w:color w:val="075A2C"/>
            <w:sz w:val="18"/>
            <w:u w:val="single"/>
          </w:rPr>
          <w:t>Source</w:t>
        </w:r>
      </w:hyperlink>
    </w:p>
    <w:p w14:paraId="0AF6189F" w14:textId="77777777" w:rsidR="00CD4596" w:rsidRDefault="00000000">
      <w:pPr>
        <w:pStyle w:val="Reference"/>
      </w:pPr>
      <w:r>
        <w:rPr>
          <w:b/>
        </w:rPr>
        <w:t xml:space="preserve">[17] </w:t>
      </w:r>
      <w:r>
        <w:t xml:space="preserve">A. P. Thirlwall, Balance of Payments Constrained Growth Models: History and Overview (University of Kent). </w:t>
      </w:r>
      <w:hyperlink r:id="rId79">
        <w:r w:rsidR="00CD4596">
          <w:rPr>
            <w:color w:val="075A2C"/>
            <w:sz w:val="18"/>
            <w:u w:val="single"/>
          </w:rPr>
          <w:t>Source</w:t>
        </w:r>
      </w:hyperlink>
    </w:p>
    <w:p w14:paraId="1E1B4D2D" w14:textId="77777777" w:rsidR="00CD4596" w:rsidRDefault="00000000">
      <w:pPr>
        <w:pStyle w:val="Reference"/>
      </w:pPr>
      <w:r>
        <w:rPr>
          <w:b/>
        </w:rPr>
        <w:t xml:space="preserve">[18] </w:t>
      </w:r>
      <w:r>
        <w:t xml:space="preserve">OECD, Place-Based Policies for the Future (2025). </w:t>
      </w:r>
      <w:hyperlink r:id="rId80">
        <w:r w:rsidR="00CD4596">
          <w:rPr>
            <w:color w:val="075A2C"/>
            <w:sz w:val="18"/>
            <w:u w:val="single"/>
          </w:rPr>
          <w:t>Source</w:t>
        </w:r>
      </w:hyperlink>
    </w:p>
    <w:p w14:paraId="186C80C8" w14:textId="77777777" w:rsidR="00CD4596" w:rsidRDefault="00000000">
      <w:pPr>
        <w:pStyle w:val="Reference"/>
      </w:pPr>
      <w:r>
        <w:rPr>
          <w:b/>
        </w:rPr>
        <w:t xml:space="preserve">[19] </w:t>
      </w:r>
      <w:r>
        <w:t xml:space="preserve">World Bank, Competitive Cities for Jobs and Growth. </w:t>
      </w:r>
      <w:hyperlink r:id="rId81">
        <w:r w:rsidR="00CD4596">
          <w:rPr>
            <w:color w:val="075A2C"/>
            <w:sz w:val="18"/>
            <w:u w:val="single"/>
          </w:rPr>
          <w:t>Source</w:t>
        </w:r>
      </w:hyperlink>
    </w:p>
    <w:p w14:paraId="15952C6F" w14:textId="77777777" w:rsidR="00CD4596" w:rsidRDefault="00000000">
      <w:pPr>
        <w:pStyle w:val="Reference"/>
      </w:pPr>
      <w:r>
        <w:rPr>
          <w:b/>
        </w:rPr>
        <w:t xml:space="preserve">[20] </w:t>
      </w:r>
      <w:r>
        <w:t xml:space="preserve">UNIDO, World Bank Group and GIZ, An International Framework for Eco-Industrial Parks, version 2.0 (2021). </w:t>
      </w:r>
      <w:hyperlink r:id="rId82">
        <w:r w:rsidR="00CD4596">
          <w:rPr>
            <w:color w:val="075A2C"/>
            <w:sz w:val="18"/>
            <w:u w:val="single"/>
          </w:rPr>
          <w:t>Source</w:t>
        </w:r>
      </w:hyperlink>
    </w:p>
    <w:p w14:paraId="16D66582" w14:textId="77777777" w:rsidR="00CD4596" w:rsidRDefault="00000000">
      <w:pPr>
        <w:pStyle w:val="Reference"/>
      </w:pPr>
      <w:r>
        <w:rPr>
          <w:b/>
        </w:rPr>
        <w:t xml:space="preserve">[21] </w:t>
      </w:r>
      <w:r>
        <w:t xml:space="preserve">OECD, Frascati Manual 2015: Guidelines for Collecting and Reporting Data on Research and Experimental Development. </w:t>
      </w:r>
      <w:hyperlink r:id="rId83">
        <w:r w:rsidR="00CD4596">
          <w:rPr>
            <w:color w:val="075A2C"/>
            <w:sz w:val="18"/>
            <w:u w:val="single"/>
          </w:rPr>
          <w:t>Source</w:t>
        </w:r>
      </w:hyperlink>
    </w:p>
    <w:p w14:paraId="3A00F522" w14:textId="77777777" w:rsidR="00CD4596" w:rsidRDefault="00000000">
      <w:pPr>
        <w:pStyle w:val="Reference"/>
      </w:pPr>
      <w:r>
        <w:rPr>
          <w:b/>
        </w:rPr>
        <w:t xml:space="preserve">[22] </w:t>
      </w:r>
      <w:r>
        <w:t xml:space="preserve">World Bank, Global Financial Development Report 2015/2016: Long-Term Finance. </w:t>
      </w:r>
      <w:hyperlink r:id="rId84">
        <w:r w:rsidR="00CD4596">
          <w:rPr>
            <w:color w:val="075A2C"/>
            <w:sz w:val="18"/>
            <w:u w:val="single"/>
          </w:rPr>
          <w:t>Source</w:t>
        </w:r>
      </w:hyperlink>
    </w:p>
    <w:p w14:paraId="51C8E913" w14:textId="77777777" w:rsidR="00CD4596" w:rsidRDefault="00000000">
      <w:pPr>
        <w:pStyle w:val="Reference"/>
      </w:pPr>
      <w:r>
        <w:rPr>
          <w:b/>
        </w:rPr>
        <w:t xml:space="preserve">[23] </w:t>
      </w:r>
      <w:r>
        <w:t xml:space="preserve">Arab Republic of Egypt, Egypt Vision 2030 (updated strategy). </w:t>
      </w:r>
      <w:hyperlink r:id="rId85">
        <w:r w:rsidR="00CD4596">
          <w:rPr>
            <w:color w:val="075A2C"/>
            <w:sz w:val="18"/>
            <w:u w:val="single"/>
          </w:rPr>
          <w:t>Source</w:t>
        </w:r>
      </w:hyperlink>
    </w:p>
    <w:p w14:paraId="23A261EF" w14:textId="77777777" w:rsidR="00CD4596" w:rsidRDefault="00000000">
      <w:pPr>
        <w:pStyle w:val="Reference"/>
      </w:pPr>
      <w:r>
        <w:rPr>
          <w:b/>
        </w:rPr>
        <w:t xml:space="preserve">[24] </w:t>
      </w:r>
      <w:r>
        <w:t xml:space="preserve">World Bank, Cities That Work: Realizing the Jobs Potential of MENA’s Cities (2026). </w:t>
      </w:r>
      <w:hyperlink r:id="rId86">
        <w:r w:rsidR="00CD4596">
          <w:rPr>
            <w:color w:val="075A2C"/>
            <w:sz w:val="18"/>
            <w:u w:val="single"/>
          </w:rPr>
          <w:t>Source</w:t>
        </w:r>
      </w:hyperlink>
    </w:p>
    <w:p w14:paraId="2793D41C" w14:textId="77777777" w:rsidR="00CD4596" w:rsidRDefault="00000000">
      <w:pPr>
        <w:pStyle w:val="Reference"/>
      </w:pPr>
      <w:r>
        <w:rPr>
          <w:b/>
        </w:rPr>
        <w:t xml:space="preserve">[25] </w:t>
      </w:r>
      <w:r>
        <w:t xml:space="preserve">UNIDO, International Guidelines for Industrial Parks (2019). </w:t>
      </w:r>
      <w:hyperlink r:id="rId87">
        <w:r w:rsidR="00CD4596">
          <w:rPr>
            <w:color w:val="075A2C"/>
            <w:sz w:val="18"/>
            <w:u w:val="single"/>
          </w:rPr>
          <w:t>Source</w:t>
        </w:r>
      </w:hyperlink>
    </w:p>
    <w:p w14:paraId="6D3CF82E" w14:textId="77777777" w:rsidR="00CD4596" w:rsidRDefault="00000000">
      <w:pPr>
        <w:pStyle w:val="Reference"/>
      </w:pPr>
      <w:r>
        <w:rPr>
          <w:b/>
        </w:rPr>
        <w:t xml:space="preserve">[26] </w:t>
      </w:r>
      <w:r>
        <w:t xml:space="preserve">World Bank, Special Economic Zones: Performance, Lessons Learned, and Implications for Zone Development (2008). </w:t>
      </w:r>
      <w:hyperlink r:id="rId88">
        <w:r w:rsidR="00CD4596">
          <w:rPr>
            <w:color w:val="075A2C"/>
            <w:sz w:val="18"/>
            <w:u w:val="single"/>
          </w:rPr>
          <w:t>Source</w:t>
        </w:r>
      </w:hyperlink>
    </w:p>
    <w:p w14:paraId="5709FDE3" w14:textId="77777777" w:rsidR="00CD4596" w:rsidRDefault="00000000">
      <w:pPr>
        <w:pStyle w:val="Reference"/>
      </w:pPr>
      <w:r>
        <w:rPr>
          <w:b/>
        </w:rPr>
        <w:t xml:space="preserve">[27] </w:t>
      </w:r>
      <w:r>
        <w:t xml:space="preserve">Dani Rodrik, Industrial Policy for the Twenty-First Century: strategic collaboration between public and private sectors. </w:t>
      </w:r>
      <w:hyperlink r:id="rId89">
        <w:r w:rsidR="00CD4596">
          <w:rPr>
            <w:color w:val="075A2C"/>
            <w:sz w:val="18"/>
            <w:u w:val="single"/>
          </w:rPr>
          <w:t>Source</w:t>
        </w:r>
      </w:hyperlink>
    </w:p>
    <w:p w14:paraId="355DCD00" w14:textId="77777777" w:rsidR="00CD4596" w:rsidRDefault="00000000">
      <w:pPr>
        <w:pStyle w:val="Reference"/>
      </w:pPr>
      <w:r>
        <w:rPr>
          <w:b/>
        </w:rPr>
        <w:t xml:space="preserve">[28] </w:t>
      </w:r>
      <w:r>
        <w:t xml:space="preserve">World Bank, evidence on foreign-exchange constraints and </w:t>
      </w:r>
      <w:proofErr w:type="gramStart"/>
      <w:r>
        <w:t>critical</w:t>
      </w:r>
      <w:proofErr w:type="gramEnd"/>
      <w:r>
        <w:t xml:space="preserve"> imported intermediate and capital goods. </w:t>
      </w:r>
      <w:hyperlink r:id="rId90">
        <w:r w:rsidR="00CD4596">
          <w:rPr>
            <w:color w:val="075A2C"/>
            <w:sz w:val="18"/>
            <w:u w:val="single"/>
          </w:rPr>
          <w:t>Source</w:t>
        </w:r>
      </w:hyperlink>
    </w:p>
    <w:sectPr w:rsidR="00CD4596" w:rsidSect="003160CA">
      <w:headerReference w:type="default" r:id="rId91"/>
      <w:footerReference w:type="default" r:id="rId92"/>
      <w:pgSz w:w="11906" w:h="16838" w:code="9"/>
      <w:pgMar w:top="1123" w:right="1440" w:bottom="1008" w:left="1440" w:header="490" w:footer="50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BC0FA" w14:textId="77777777" w:rsidR="00026B5A" w:rsidRDefault="00026B5A">
      <w:pPr>
        <w:spacing w:after="0" w:line="240" w:lineRule="auto"/>
      </w:pPr>
      <w:r>
        <w:separator/>
      </w:r>
    </w:p>
  </w:endnote>
  <w:endnote w:type="continuationSeparator" w:id="0">
    <w:p w14:paraId="32F5546C" w14:textId="77777777" w:rsidR="00026B5A" w:rsidRDefault="00026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randview">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2BD6" w14:textId="77777777" w:rsidR="00CD4596" w:rsidRDefault="00CD45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4411B" w14:textId="77777777" w:rsidR="00CD4596" w:rsidRDefault="00CD4596">
    <w:pPr>
      <w:pStyle w:val="Footer"/>
    </w:pPr>
  </w:p>
  <w:tbl>
    <w:tblPr>
      <w:tblW w:w="9360" w:type="dxa"/>
      <w:jc w:val="center"/>
      <w:tblLayout w:type="fixed"/>
      <w:tblLook w:val="04A0" w:firstRow="1" w:lastRow="0" w:firstColumn="1" w:lastColumn="0" w:noHBand="0" w:noVBand="1"/>
    </w:tblPr>
    <w:tblGrid>
      <w:gridCol w:w="7600"/>
      <w:gridCol w:w="1760"/>
    </w:tblGrid>
    <w:tr w:rsidR="00CD4596" w14:paraId="2AFBA867" w14:textId="77777777">
      <w:trPr>
        <w:jc w:val="center"/>
      </w:trPr>
      <w:tc>
        <w:tcPr>
          <w:tcW w:w="7600" w:type="dxa"/>
          <w:tcMar>
            <w:top w:w="0" w:type="dxa"/>
            <w:left w:w="0" w:type="dxa"/>
            <w:bottom w:w="0" w:type="dxa"/>
            <w:right w:w="0" w:type="dxa"/>
          </w:tcMar>
          <w:vAlign w:val="center"/>
        </w:tcPr>
        <w:p w14:paraId="2E924DC0" w14:textId="77777777" w:rsidR="00CD4596" w:rsidRDefault="00000000">
          <w:pPr>
            <w:spacing w:after="0"/>
          </w:pPr>
          <w:r>
            <w:rPr>
              <w:color w:val="6A746E"/>
              <w:sz w:val="15"/>
            </w:rPr>
            <w:t xml:space="preserve">INTRODUCTION TO COMMERCIAL </w:t>
          </w:r>
          <w:proofErr w:type="gramStart"/>
          <w:r>
            <w:rPr>
              <w:color w:val="6A746E"/>
              <w:sz w:val="15"/>
            </w:rPr>
            <w:t>ECONOMICS  •</w:t>
          </w:r>
          <w:proofErr w:type="gramEnd"/>
          <w:r>
            <w:rPr>
              <w:color w:val="6A746E"/>
              <w:sz w:val="15"/>
            </w:rPr>
            <w:t xml:space="preserve">  JULY 2026</w:t>
          </w:r>
        </w:p>
      </w:tc>
      <w:tc>
        <w:tcPr>
          <w:tcW w:w="1760" w:type="dxa"/>
          <w:tcMar>
            <w:top w:w="0" w:type="dxa"/>
            <w:left w:w="0" w:type="dxa"/>
            <w:bottom w:w="0" w:type="dxa"/>
            <w:right w:w="0" w:type="dxa"/>
          </w:tcMar>
          <w:vAlign w:val="center"/>
        </w:tcPr>
        <w:p w14:paraId="3DBD8748" w14:textId="77777777" w:rsidR="00CD4596" w:rsidRDefault="00000000">
          <w:pPr>
            <w:spacing w:after="0"/>
            <w:jc w:val="right"/>
          </w:pPr>
          <w:r>
            <w:fldChar w:fldCharType="begin"/>
          </w:r>
          <w:r>
            <w:instrText xml:space="preserve"> PAGE </w:instrText>
          </w:r>
          <w:r>
            <w:fldChar w:fldCharType="separate"/>
          </w:r>
          <w:r w:rsidR="001A5592">
            <w:rPr>
              <w:noProof/>
            </w:rPr>
            <w:t>106</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C70D6" w14:textId="77777777" w:rsidR="00026B5A" w:rsidRDefault="00026B5A">
      <w:pPr>
        <w:spacing w:after="0" w:line="240" w:lineRule="auto"/>
      </w:pPr>
      <w:r>
        <w:separator/>
      </w:r>
    </w:p>
  </w:footnote>
  <w:footnote w:type="continuationSeparator" w:id="0">
    <w:p w14:paraId="7A721140" w14:textId="77777777" w:rsidR="00026B5A" w:rsidRDefault="00026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28E11" w14:textId="77777777" w:rsidR="00CD4596" w:rsidRDefault="00CD45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012DE" w14:textId="77777777" w:rsidR="00CD4596" w:rsidRDefault="00000000">
    <w:pPr>
      <w:pStyle w:val="Header"/>
      <w:pBdr>
        <w:bottom w:val="single" w:sz="4" w:space="2" w:color="CFE5D7"/>
      </w:pBdr>
    </w:pPr>
    <w:r>
      <w:rPr>
        <w:b/>
        <w:color w:val="2F7D52"/>
        <w:sz w:val="15"/>
      </w:rPr>
      <w:t xml:space="preserve">¥OUTH </w:t>
    </w:r>
    <w:proofErr w:type="gramStart"/>
    <w:r>
      <w:rPr>
        <w:b/>
        <w:color w:val="2F7D52"/>
        <w:sz w:val="15"/>
      </w:rPr>
      <w:t>TECHNOLOGIES  /</w:t>
    </w:r>
    <w:proofErr w:type="gramEnd"/>
    <w:r>
      <w:rPr>
        <w:b/>
        <w:color w:val="2F7D52"/>
        <w:sz w:val="15"/>
      </w:rPr>
      <w:t xml:space="preserve">  PUBLIC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6123667">
    <w:abstractNumId w:val="8"/>
  </w:num>
  <w:num w:numId="2" w16cid:durableId="1368722517">
    <w:abstractNumId w:val="6"/>
  </w:num>
  <w:num w:numId="3" w16cid:durableId="896092629">
    <w:abstractNumId w:val="5"/>
  </w:num>
  <w:num w:numId="4" w16cid:durableId="19011607">
    <w:abstractNumId w:val="4"/>
  </w:num>
  <w:num w:numId="5" w16cid:durableId="345328739">
    <w:abstractNumId w:val="7"/>
  </w:num>
  <w:num w:numId="6" w16cid:durableId="2128039040">
    <w:abstractNumId w:val="3"/>
  </w:num>
  <w:num w:numId="7" w16cid:durableId="1454324782">
    <w:abstractNumId w:val="2"/>
  </w:num>
  <w:num w:numId="8" w16cid:durableId="356126292">
    <w:abstractNumId w:val="1"/>
  </w:num>
  <w:num w:numId="9" w16cid:durableId="1468011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6B5A"/>
    <w:rsid w:val="00034616"/>
    <w:rsid w:val="00036875"/>
    <w:rsid w:val="00037A29"/>
    <w:rsid w:val="0006063C"/>
    <w:rsid w:val="000977AF"/>
    <w:rsid w:val="000A2BEE"/>
    <w:rsid w:val="000C27BF"/>
    <w:rsid w:val="000C29A3"/>
    <w:rsid w:val="000E3498"/>
    <w:rsid w:val="00103C7C"/>
    <w:rsid w:val="001318B0"/>
    <w:rsid w:val="00136824"/>
    <w:rsid w:val="00141BAB"/>
    <w:rsid w:val="0015074B"/>
    <w:rsid w:val="001543BF"/>
    <w:rsid w:val="00154B1C"/>
    <w:rsid w:val="00165ACB"/>
    <w:rsid w:val="00175EA3"/>
    <w:rsid w:val="00176DB8"/>
    <w:rsid w:val="001A4FA5"/>
    <w:rsid w:val="001A5592"/>
    <w:rsid w:val="001B07EC"/>
    <w:rsid w:val="001E3DB5"/>
    <w:rsid w:val="001F6208"/>
    <w:rsid w:val="001F7164"/>
    <w:rsid w:val="00223D7D"/>
    <w:rsid w:val="002370A5"/>
    <w:rsid w:val="00241AF2"/>
    <w:rsid w:val="00254C0A"/>
    <w:rsid w:val="00260568"/>
    <w:rsid w:val="002824C0"/>
    <w:rsid w:val="002941CE"/>
    <w:rsid w:val="0029639D"/>
    <w:rsid w:val="002A6C30"/>
    <w:rsid w:val="002D2A57"/>
    <w:rsid w:val="002E0F5C"/>
    <w:rsid w:val="002F2FDD"/>
    <w:rsid w:val="003160CA"/>
    <w:rsid w:val="00316DE6"/>
    <w:rsid w:val="00320C30"/>
    <w:rsid w:val="00326F90"/>
    <w:rsid w:val="00380B40"/>
    <w:rsid w:val="0038194E"/>
    <w:rsid w:val="00383CD9"/>
    <w:rsid w:val="003D316E"/>
    <w:rsid w:val="003F2740"/>
    <w:rsid w:val="00405EE7"/>
    <w:rsid w:val="00422D6A"/>
    <w:rsid w:val="00424899"/>
    <w:rsid w:val="00453E8A"/>
    <w:rsid w:val="00472578"/>
    <w:rsid w:val="004821C2"/>
    <w:rsid w:val="00496D25"/>
    <w:rsid w:val="004A6274"/>
    <w:rsid w:val="004D4F25"/>
    <w:rsid w:val="005212E3"/>
    <w:rsid w:val="00521E97"/>
    <w:rsid w:val="005542D4"/>
    <w:rsid w:val="005B1D54"/>
    <w:rsid w:val="005F3FC2"/>
    <w:rsid w:val="00624AAA"/>
    <w:rsid w:val="006828AC"/>
    <w:rsid w:val="006853E7"/>
    <w:rsid w:val="006979FB"/>
    <w:rsid w:val="006A02EB"/>
    <w:rsid w:val="006A23FF"/>
    <w:rsid w:val="006A52D5"/>
    <w:rsid w:val="006C184D"/>
    <w:rsid w:val="006D56F5"/>
    <w:rsid w:val="006F14AF"/>
    <w:rsid w:val="006F1504"/>
    <w:rsid w:val="006F6C90"/>
    <w:rsid w:val="007062EA"/>
    <w:rsid w:val="00727CAB"/>
    <w:rsid w:val="00731598"/>
    <w:rsid w:val="007949CC"/>
    <w:rsid w:val="007A42B8"/>
    <w:rsid w:val="007B3B14"/>
    <w:rsid w:val="007C4867"/>
    <w:rsid w:val="00815757"/>
    <w:rsid w:val="00833B0F"/>
    <w:rsid w:val="00833FCB"/>
    <w:rsid w:val="00855331"/>
    <w:rsid w:val="0085694C"/>
    <w:rsid w:val="00874E40"/>
    <w:rsid w:val="00876059"/>
    <w:rsid w:val="008B217D"/>
    <w:rsid w:val="008C2499"/>
    <w:rsid w:val="008D375D"/>
    <w:rsid w:val="008D6F9C"/>
    <w:rsid w:val="008E5833"/>
    <w:rsid w:val="0090080C"/>
    <w:rsid w:val="0090179C"/>
    <w:rsid w:val="00903348"/>
    <w:rsid w:val="009269A9"/>
    <w:rsid w:val="00935800"/>
    <w:rsid w:val="0094182D"/>
    <w:rsid w:val="0095227B"/>
    <w:rsid w:val="009917E3"/>
    <w:rsid w:val="009C533A"/>
    <w:rsid w:val="009C677B"/>
    <w:rsid w:val="00A0315B"/>
    <w:rsid w:val="00A04C83"/>
    <w:rsid w:val="00A07423"/>
    <w:rsid w:val="00A33B3C"/>
    <w:rsid w:val="00A42092"/>
    <w:rsid w:val="00A60BAC"/>
    <w:rsid w:val="00A616AD"/>
    <w:rsid w:val="00A92129"/>
    <w:rsid w:val="00AA1522"/>
    <w:rsid w:val="00AA1D8D"/>
    <w:rsid w:val="00AA638F"/>
    <w:rsid w:val="00AB2B3D"/>
    <w:rsid w:val="00AC1370"/>
    <w:rsid w:val="00B02B73"/>
    <w:rsid w:val="00B47730"/>
    <w:rsid w:val="00B5259C"/>
    <w:rsid w:val="00B95641"/>
    <w:rsid w:val="00BB23ED"/>
    <w:rsid w:val="00BB32FA"/>
    <w:rsid w:val="00BC385C"/>
    <w:rsid w:val="00BD1EF7"/>
    <w:rsid w:val="00BD4503"/>
    <w:rsid w:val="00C10D59"/>
    <w:rsid w:val="00C214F3"/>
    <w:rsid w:val="00C53859"/>
    <w:rsid w:val="00C95971"/>
    <w:rsid w:val="00CB0664"/>
    <w:rsid w:val="00CC753A"/>
    <w:rsid w:val="00CD4596"/>
    <w:rsid w:val="00CE0533"/>
    <w:rsid w:val="00CE3295"/>
    <w:rsid w:val="00CF0E2A"/>
    <w:rsid w:val="00D069D1"/>
    <w:rsid w:val="00D10BBF"/>
    <w:rsid w:val="00D170BE"/>
    <w:rsid w:val="00D26823"/>
    <w:rsid w:val="00D341C9"/>
    <w:rsid w:val="00D608E9"/>
    <w:rsid w:val="00D703C6"/>
    <w:rsid w:val="00DF4E63"/>
    <w:rsid w:val="00E256DC"/>
    <w:rsid w:val="00E27DA9"/>
    <w:rsid w:val="00E377BA"/>
    <w:rsid w:val="00E75B38"/>
    <w:rsid w:val="00E86A69"/>
    <w:rsid w:val="00E87463"/>
    <w:rsid w:val="00E90702"/>
    <w:rsid w:val="00E957C1"/>
    <w:rsid w:val="00E9656D"/>
    <w:rsid w:val="00EA1E66"/>
    <w:rsid w:val="00EC316F"/>
    <w:rsid w:val="00EE7BC8"/>
    <w:rsid w:val="00EF7C61"/>
    <w:rsid w:val="00F015AB"/>
    <w:rsid w:val="00F035A4"/>
    <w:rsid w:val="00F12B78"/>
    <w:rsid w:val="00F21F60"/>
    <w:rsid w:val="00F37AB3"/>
    <w:rsid w:val="00F37AD7"/>
    <w:rsid w:val="00F66A96"/>
    <w:rsid w:val="00F71CC7"/>
    <w:rsid w:val="00FA6E60"/>
    <w:rsid w:val="00FC693F"/>
    <w:rsid w:val="00FD1DD5"/>
    <w:rsid w:val="00FF15C5"/>
    <w:rsid w:val="00FF42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4CBD68"/>
  <w14:defaultImageDpi w14:val="300"/>
  <w15:docId w15:val="{CB853348-D32D-4722-913D-2EFEEB36E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20" w:lineRule="auto"/>
    </w:pPr>
    <w:rPr>
      <w:rFonts w:ascii="Calibri" w:eastAsia="Calibri" w:hAnsi="Calibri"/>
      <w:color w:val="1E2722"/>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075A2C"/>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b/>
      <w:bCs/>
      <w:color w:val="075A2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2F7D5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jc w:val="both"/>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3" w:lineRule="auto"/>
      <w:contextualSpacing/>
    </w:pPr>
    <w:rPr>
      <w:sz w:val="21"/>
    </w:rPr>
  </w:style>
  <w:style w:type="paragraph" w:styleId="ListBullet2">
    <w:name w:val="List Bullet 2"/>
    <w:basedOn w:val="Normal"/>
    <w:uiPriority w:val="99"/>
    <w:unhideWhenUsed/>
    <w:rsid w:val="00326F90"/>
    <w:pPr>
      <w:numPr>
        <w:numId w:val="2"/>
      </w:numPr>
      <w:spacing w:after="80" w:line="283" w:lineRule="auto"/>
      <w:contextualSpacing/>
    </w:pPr>
    <w:rPr>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3" w:lineRule="auto"/>
      <w:contextualSpacing/>
    </w:pPr>
    <w:rPr>
      <w:sz w:val="21"/>
    </w:rPr>
  </w:style>
  <w:style w:type="paragraph" w:styleId="ListNumber2">
    <w:name w:val="List Number 2"/>
    <w:basedOn w:val="Normal"/>
    <w:uiPriority w:val="99"/>
    <w:unhideWhenUsed/>
    <w:rsid w:val="0029639D"/>
    <w:pPr>
      <w:numPr>
        <w:numId w:val="6"/>
      </w:numPr>
      <w:spacing w:after="80" w:line="283" w:lineRule="auto"/>
      <w:contextualSpacing/>
    </w:pPr>
    <w:rPr>
      <w:sz w:val="21"/>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pterSubtitle">
    <w:name w:val="Chapter Subtitle"/>
    <w:pPr>
      <w:keepNext/>
      <w:spacing w:after="240"/>
    </w:pPr>
    <w:rPr>
      <w:rFonts w:ascii="Calibri" w:hAnsi="Calibri"/>
      <w:i/>
      <w:color w:val="6A746E"/>
      <w:sz w:val="21"/>
    </w:rPr>
  </w:style>
  <w:style w:type="paragraph" w:customStyle="1" w:styleId="Callout">
    <w:name w:val="Callout"/>
    <w:pPr>
      <w:spacing w:after="60"/>
    </w:pPr>
    <w:rPr>
      <w:rFonts w:ascii="Calibri" w:hAnsi="Calibri"/>
      <w:color w:val="1E2722"/>
      <w:sz w:val="20"/>
    </w:rPr>
  </w:style>
  <w:style w:type="paragraph" w:customStyle="1" w:styleId="TableText">
    <w:name w:val="Table Text"/>
    <w:pPr>
      <w:keepLines/>
      <w:spacing w:after="40" w:line="240" w:lineRule="auto"/>
    </w:pPr>
    <w:rPr>
      <w:rFonts w:ascii="Calibri" w:hAnsi="Calibri"/>
      <w:color w:val="1E2722"/>
      <w:sz w:val="17"/>
    </w:rPr>
  </w:style>
  <w:style w:type="paragraph" w:customStyle="1" w:styleId="Reference">
    <w:name w:val="Reference"/>
    <w:pPr>
      <w:spacing w:after="60" w:line="252" w:lineRule="auto"/>
      <w:ind w:left="317" w:hanging="317"/>
    </w:pPr>
    <w:rPr>
      <w:rFonts w:ascii="Calibri" w:hAnsi="Calibri"/>
      <w:color w:val="1E2722"/>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uments.worldbank.org/en/publication/documents-reports/documentdetail/975081468244550798" TargetMode="External"/><Relationship Id="rId21" Type="http://schemas.openxmlformats.org/officeDocument/2006/relationships/hyperlink" Target="https://www.worldbank.org/en/region/mena/publication/cities-that-work-realizing-the-jobs-potential-of-mena-s-cities" TargetMode="External"/><Relationship Id="rId42" Type="http://schemas.openxmlformats.org/officeDocument/2006/relationships/hyperlink" Target="https://www.oecd.org/en/publications/place-based-policies-for-the-future_e5ff6716-en.html" TargetMode="External"/><Relationship Id="rId47" Type="http://schemas.openxmlformats.org/officeDocument/2006/relationships/hyperlink" Target="https://www.oecd.org/content/dam/oecd/en/publications/reports/2026/06/industrial-policy-handbook_a5b12f68/ff099713-en.pdf" TargetMode="External"/><Relationship Id="rId63" Type="http://schemas.openxmlformats.org/officeDocument/2006/relationships/hyperlink" Target="https://nationalhumanitiescenter.org/pds/livingrev/politics/text2/hamilton.pdf" TargetMode="External"/><Relationship Id="rId68" Type="http://schemas.openxmlformats.org/officeDocument/2006/relationships/hyperlink" Target="https://www.archives.gov/exhibits/picturing_the_century/text/greatdep_text.html" TargetMode="External"/><Relationship Id="rId84" Type="http://schemas.openxmlformats.org/officeDocument/2006/relationships/hyperlink" Target="https://documents.worldbank.org/curated/en/955811467986333727/pdf/99100-PUB-REVISED-Box393195B-OUO-9-until-9-14-15.pdf" TargetMode="External"/><Relationship Id="rId89" Type="http://schemas.openxmlformats.org/officeDocument/2006/relationships/hyperlink" Target="https://openknowledge.worldbank.org/bitstreams/c039ef83-e3f8-5be3-b3d6-750e9cb5d547/download" TargetMode="External"/><Relationship Id="rId16" Type="http://schemas.openxmlformats.org/officeDocument/2006/relationships/hyperlink" Target="https://www.oecd.org/content/dam/oecd/en/publications/reports/2026/06/industrial-policy-handbook_a5b12f68/ff099713-en.pdf" TargetMode="External"/><Relationship Id="rId11" Type="http://schemas.openxmlformats.org/officeDocument/2006/relationships/image" Target="media/image2.png"/><Relationship Id="rId32" Type="http://schemas.openxmlformats.org/officeDocument/2006/relationships/hyperlink" Target="https://openknowledge.worldbank.org/entities/publication/e5ffd66c-5de2-57a3-92b0-8c0469880b2a" TargetMode="External"/><Relationship Id="rId37" Type="http://schemas.openxmlformats.org/officeDocument/2006/relationships/hyperlink" Target="https://www.pnas.org/doi/10.1073/pnas.0900943106" TargetMode="External"/><Relationship Id="rId53" Type="http://schemas.openxmlformats.org/officeDocument/2006/relationships/hyperlink" Target="https://www.archives.gov/exhibits/picturing_the_century/text/greatdep_text.html" TargetMode="External"/><Relationship Id="rId58" Type="http://schemas.openxmlformats.org/officeDocument/2006/relationships/hyperlink" Target="https://www.worldbank.org/en/region/mena/publication/cities-that-work-realizing-the-jobs-potential-of-mena-s-cities" TargetMode="External"/><Relationship Id="rId74" Type="http://schemas.openxmlformats.org/officeDocument/2006/relationships/hyperlink" Target="https://www.pnas.org/doi/10.1073/pnas.0900943106" TargetMode="External"/><Relationship Id="rId79" Type="http://schemas.openxmlformats.org/officeDocument/2006/relationships/hyperlink" Target="https://www.kent.ac.uk/economics/repec/1111.pdf" TargetMode="External"/><Relationship Id="rId5" Type="http://schemas.openxmlformats.org/officeDocument/2006/relationships/webSettings" Target="webSettings.xml"/><Relationship Id="rId90" Type="http://schemas.openxmlformats.org/officeDocument/2006/relationships/hyperlink" Target="https://documents1.worldbank.org/curated/en/286391468337869576/pdf/NonAsciiFileName0.pdf" TargetMode="External"/><Relationship Id="rId22" Type="http://schemas.openxmlformats.org/officeDocument/2006/relationships/hyperlink" Target="https://www.oecd.org/en/publications/frascati-manual-2015_9789264239012-en.html" TargetMode="External"/><Relationship Id="rId27" Type="http://schemas.openxmlformats.org/officeDocument/2006/relationships/hyperlink" Target="https://thedocs.worldbank.org/en/doc/934911517472447837-0070022018/original/Reflectionson40yearsofreformsfinal.pdf" TargetMode="External"/><Relationship Id="rId43" Type="http://schemas.openxmlformats.org/officeDocument/2006/relationships/hyperlink" Target="https://www.bis.org/review/r230110a.htm" TargetMode="External"/><Relationship Id="rId48" Type="http://schemas.openxmlformats.org/officeDocument/2006/relationships/hyperlink" Target="https://www.worldbank.org/en/publication/industrial-policy-for-development" TargetMode="External"/><Relationship Id="rId64" Type="http://schemas.openxmlformats.org/officeDocument/2006/relationships/hyperlink" Target="https://oll.libertyfund.org/titles/lloyd-the-national-system-of-political-economy" TargetMode="External"/><Relationship Id="rId69" Type="http://schemas.openxmlformats.org/officeDocument/2006/relationships/hyperlink" Target="https://www.oecd.org/content/dam/oecd/en/publications/reports/2008/09/the-marshall-plan_g1gh8e35/9789264044258-en.pdf" TargetMode="External"/><Relationship Id="rId8" Type="http://schemas.openxmlformats.org/officeDocument/2006/relationships/image" Target="media/image1.png"/><Relationship Id="rId51" Type="http://schemas.openxmlformats.org/officeDocument/2006/relationships/hyperlink" Target="https://openknowledge.worldbank.org/entities/publication/e5ffd66c-5de2-57a3-92b0-8c0469880b2a" TargetMode="External"/><Relationship Id="rId72" Type="http://schemas.openxmlformats.org/officeDocument/2006/relationships/hyperlink" Target="https://www.unido.org/sites/default/files/unido-publications/2024-06/Industrial%20Development%20Report%202024.pdf" TargetMode="External"/><Relationship Id="rId80" Type="http://schemas.openxmlformats.org/officeDocument/2006/relationships/hyperlink" Target="https://www.oecd.org/en/publications/place-based-policies-for-the-future_e5ff6716-en.html" TargetMode="External"/><Relationship Id="rId85" Type="http://schemas.openxmlformats.org/officeDocument/2006/relationships/hyperlink" Target="https://mped.gov.eg/Files/Egypt_Vision_2030_EnglishDigitalUse.pdf"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www.worldbank.org/en/publication/industrial-policy-for-development" TargetMode="External"/><Relationship Id="rId25" Type="http://schemas.openxmlformats.org/officeDocument/2006/relationships/hyperlink" Target="https://www.ndl.go.jp/modern/e/cha2/index.html" TargetMode="External"/><Relationship Id="rId33" Type="http://schemas.openxmlformats.org/officeDocument/2006/relationships/hyperlink" Target="https://www.unido.org/sites/default/files/unido-publications/2024-06/Industrial%20Development%20Report%202024.pdf" TargetMode="External"/><Relationship Id="rId38" Type="http://schemas.openxmlformats.org/officeDocument/2006/relationships/hyperlink" Target="https://www.unido.org/sites/default/files/unido-publications/2024-06/Industrial%20Development%20Report%202024.pdf" TargetMode="External"/><Relationship Id="rId46" Type="http://schemas.openxmlformats.org/officeDocument/2006/relationships/hyperlink" Target="https://documents1.worldbank.org/curated/en/286391468337869576/pdf/NonAsciiFileName0.pdf" TargetMode="External"/><Relationship Id="rId59" Type="http://schemas.openxmlformats.org/officeDocument/2006/relationships/hyperlink" Target="https://documents.worldbank.org/curated/en/955811467986333727/pdf/99100-PUB-REVISED-Box393195B-OUO-9-until-9-14-15.pdf" TargetMode="External"/><Relationship Id="rId67" Type="http://schemas.openxmlformats.org/officeDocument/2006/relationships/hyperlink" Target="https://thedocs.worldbank.org/en/doc/934911517472447837-0070022018/original/Reflectionson40yearsofreformsfinal.pdf" TargetMode="External"/><Relationship Id="rId20" Type="http://schemas.openxmlformats.org/officeDocument/2006/relationships/hyperlink" Target="https://documents.worldbank.org/curated/en/902411467990995484/pdf/101546-REVISED-Competitive-Cities-for-Jobs-and-Growth.pdf" TargetMode="External"/><Relationship Id="rId41" Type="http://schemas.openxmlformats.org/officeDocument/2006/relationships/hyperlink" Target="https://documents.worldbank.org/curated/en/902411467990995484/pdf/101546-REVISED-Competitive-Cities-for-Jobs-and-Growth.pdf" TargetMode="External"/><Relationship Id="rId54" Type="http://schemas.openxmlformats.org/officeDocument/2006/relationships/hyperlink" Target="https://documents.worldbank.org/curated/en/902411467990995484/pdf/101546-REVISED-Competitive-Cities-for-Jobs-and-Growth.pdf" TargetMode="External"/><Relationship Id="rId62" Type="http://schemas.openxmlformats.org/officeDocument/2006/relationships/hyperlink" Target="https://mped.gov.eg/Files/Egypt_Vision_2030_EnglishDigitalUse.pdf" TargetMode="External"/><Relationship Id="rId70" Type="http://schemas.openxmlformats.org/officeDocument/2006/relationships/hyperlink" Target="https://documents1.worldbank.org/curated/en/223681468278096298/pdf/multi-page.pdf" TargetMode="External"/><Relationship Id="rId75" Type="http://schemas.openxmlformats.org/officeDocument/2006/relationships/hyperlink" Target="https://www.oecd.org/content/dam/oecd/en/publications/reports/2026/06/industrial-policy-handbook_a5b12f68/ff099713-en.pdf" TargetMode="External"/><Relationship Id="rId83" Type="http://schemas.openxmlformats.org/officeDocument/2006/relationships/hyperlink" Target="https://www.oecd.org/en/publications/frascati-manual-2015_9789264239012-en.html" TargetMode="External"/><Relationship Id="rId88" Type="http://schemas.openxmlformats.org/officeDocument/2006/relationships/hyperlink" Target="https://documents1.worldbank.org/curated/en/343901468330977533/pdf/458690WP0Box331s0April200801PUBLIC1.pdf" TargetMode="External"/><Relationship Id="rId9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oecd.org/content/dam/oecd/en/publications/reports/2026/06/industrial-policy-handbook_a5b12f68/ff099713-en.pdf" TargetMode="External"/><Relationship Id="rId23" Type="http://schemas.openxmlformats.org/officeDocument/2006/relationships/hyperlink" Target="https://nationalhumanitiescenter.org/pds/livingrev/politics/text2/hamilton.pdf" TargetMode="External"/><Relationship Id="rId28" Type="http://schemas.openxmlformats.org/officeDocument/2006/relationships/hyperlink" Target="https://www.archives.gov/exhibits/picturing_the_century/text/greatdep_text.html" TargetMode="External"/><Relationship Id="rId36" Type="http://schemas.openxmlformats.org/officeDocument/2006/relationships/hyperlink" Target="https://openknowledge.worldbank.org/entities/publication/e5ffd66c-5de2-57a3-92b0-8c0469880b2a" TargetMode="External"/><Relationship Id="rId49" Type="http://schemas.openxmlformats.org/officeDocument/2006/relationships/hyperlink" Target="https://openknowledge.worldbank.org/bitstreams/c039ef83-e3f8-5be3-b3d6-750e9cb5d547/download" TargetMode="External"/><Relationship Id="rId57" Type="http://schemas.openxmlformats.org/officeDocument/2006/relationships/hyperlink" Target="https://documents1.worldbank.org/curated/en/343901468330977533/pdf/458690WP0Box331s0April200801PUBLIC1.pdf" TargetMode="External"/><Relationship Id="rId10" Type="http://schemas.openxmlformats.org/officeDocument/2006/relationships/footer" Target="footer1.xml"/><Relationship Id="rId31" Type="http://schemas.openxmlformats.org/officeDocument/2006/relationships/hyperlink" Target="https://warwick.ac.uk/fac/soc/economics/staff/mharrison/public/pp2011postprint.pdf" TargetMode="External"/><Relationship Id="rId44" Type="http://schemas.openxmlformats.org/officeDocument/2006/relationships/hyperlink" Target="https://www.bankofengland.co.uk/quarterly-bulletin/2024/2024/about-a-rate-of-general-interest-how-monetary-policy-transmits" TargetMode="External"/><Relationship Id="rId52" Type="http://schemas.openxmlformats.org/officeDocument/2006/relationships/hyperlink" Target="https://www.pnas.org/doi/10.1073/pnas.0900943106" TargetMode="External"/><Relationship Id="rId60" Type="http://schemas.openxmlformats.org/officeDocument/2006/relationships/hyperlink" Target="https://documents.worldbank.org/curated/en/955811467986333727/pdf/99100-PUB-REVISED-Box393195B-OUO-9-until-9-14-15.pdf" TargetMode="External"/><Relationship Id="rId65" Type="http://schemas.openxmlformats.org/officeDocument/2006/relationships/hyperlink" Target="https://www.ndl.go.jp/modern/e/cha2/index.html" TargetMode="External"/><Relationship Id="rId73" Type="http://schemas.openxmlformats.org/officeDocument/2006/relationships/hyperlink" Target="https://openknowledge.worldbank.org/entities/publication/e5ffd66c-5de2-57a3-92b0-8c0469880b2a" TargetMode="External"/><Relationship Id="rId78" Type="http://schemas.openxmlformats.org/officeDocument/2006/relationships/hyperlink" Target="https://www.bankofengland.co.uk/quarterly-bulletin/2024/2024/about-a-rate-of-general-interest-how-monetary-policy-transmits" TargetMode="External"/><Relationship Id="rId81" Type="http://schemas.openxmlformats.org/officeDocument/2006/relationships/hyperlink" Target="https://documents.worldbank.org/curated/en/902411467990995484/pdf/101546-REVISED-Competitive-Cities-for-Jobs-and-Growth.pdf" TargetMode="External"/><Relationship Id="rId86" Type="http://schemas.openxmlformats.org/officeDocument/2006/relationships/hyperlink" Target="https://www.worldbank.org/en/region/mena/publication/cities-that-work-realizing-the-jobs-potential-of-mena-s-cities"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www.oecd.org/en/publications/frascati-manual-2015_9789264239012-en.html" TargetMode="External"/><Relationship Id="rId18" Type="http://schemas.openxmlformats.org/officeDocument/2006/relationships/hyperlink" Target="https://documents.worldbank.org/curated/en/902411467990995484/pdf/101546-REVISED-Competitive-Cities-for-Jobs-and-Growth.pdf" TargetMode="External"/><Relationship Id="rId39" Type="http://schemas.openxmlformats.org/officeDocument/2006/relationships/hyperlink" Target="https://www.oecd.org/content/dam/oecd/en/publications/reports/2026/06/industrial-policy-handbook_a5b12f68/ff099713-en.pdf" TargetMode="External"/><Relationship Id="rId34" Type="http://schemas.openxmlformats.org/officeDocument/2006/relationships/hyperlink" Target="https://www.oecd.org/content/dam/oecd/en/publications/reports/2026/06/industrial-policy-handbook_a5b12f68/ff099713-en.pdf" TargetMode="External"/><Relationship Id="rId50" Type="http://schemas.openxmlformats.org/officeDocument/2006/relationships/hyperlink" Target="https://www.unido.org/sites/default/files/unido-publications/2024-06/Industrial%20Development%20Report%202024.pdf" TargetMode="External"/><Relationship Id="rId55" Type="http://schemas.openxmlformats.org/officeDocument/2006/relationships/hyperlink" Target="https://www.oecd.org/en/publications/place-based-policies-for-the-future_e5ff6716-en.html" TargetMode="External"/><Relationship Id="rId76" Type="http://schemas.openxmlformats.org/officeDocument/2006/relationships/hyperlink" Target="https://www.worldbank.org/en/publication/industrial-policy-for-development" TargetMode="External"/><Relationship Id="rId7" Type="http://schemas.openxmlformats.org/officeDocument/2006/relationships/endnotes" Target="endnotes.xml"/><Relationship Id="rId71" Type="http://schemas.openxmlformats.org/officeDocument/2006/relationships/hyperlink" Target="https://warwick.ac.uk/fac/soc/economics/staff/mharrison/public/pp2011postprint.pdf" TargetMode="External"/><Relationship Id="rId92"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hyperlink" Target="https://www.oecd.org/content/dam/oecd/en/publications/reports/2008/09/the-marshall-plan_g1gh8e35/9789264044258-en.pdf" TargetMode="External"/><Relationship Id="rId24" Type="http://schemas.openxmlformats.org/officeDocument/2006/relationships/hyperlink" Target="https://oll.libertyfund.org/titles/lloyd-the-national-system-of-political-economy" TargetMode="External"/><Relationship Id="rId40" Type="http://schemas.openxmlformats.org/officeDocument/2006/relationships/hyperlink" Target="https://openknowledge.worldbank.org/bitstreams/c039ef83-e3f8-5be3-b3d6-750e9cb5d547/download" TargetMode="External"/><Relationship Id="rId45" Type="http://schemas.openxmlformats.org/officeDocument/2006/relationships/hyperlink" Target="https://www.kent.ac.uk/economics/repec/1111.pdf" TargetMode="External"/><Relationship Id="rId66" Type="http://schemas.openxmlformats.org/officeDocument/2006/relationships/hyperlink" Target="https://documents.worldbank.org/en/publication/documents-reports/documentdetail/975081468244550798" TargetMode="External"/><Relationship Id="rId87" Type="http://schemas.openxmlformats.org/officeDocument/2006/relationships/hyperlink" Target="https://www.unido.org/sites/default/files/files/2020-05/International_Guidelines_for_Industrial_Parks_EN.pdf" TargetMode="External"/><Relationship Id="rId61" Type="http://schemas.openxmlformats.org/officeDocument/2006/relationships/hyperlink" Target="https://www.unido.org/sites/default/files/files/2021-04/An%20international%20framework%20for%20eco-industrial%20parks%20v2.0.pdf" TargetMode="External"/><Relationship Id="rId82" Type="http://schemas.openxmlformats.org/officeDocument/2006/relationships/hyperlink" Target="https://www.unido.org/sites/default/files/files/2021-04/An%20international%20framework%20for%20eco-industrial%20parks%20v2.0.pdf" TargetMode="External"/><Relationship Id="rId19" Type="http://schemas.openxmlformats.org/officeDocument/2006/relationships/hyperlink" Target="https://www.oecd.org/en/publications/place-based-policies-for-the-future_e5ff6716-en.html" TargetMode="External"/><Relationship Id="rId14" Type="http://schemas.openxmlformats.org/officeDocument/2006/relationships/hyperlink" Target="https://openknowledge.worldbank.org/entities/publication/e5ffd66c-5de2-57a3-92b0-8c0469880b2a" TargetMode="External"/><Relationship Id="rId30" Type="http://schemas.openxmlformats.org/officeDocument/2006/relationships/hyperlink" Target="https://documents1.worldbank.org/curated/en/223681468278096298/pdf/multi-page.pdf" TargetMode="External"/><Relationship Id="rId35" Type="http://schemas.openxmlformats.org/officeDocument/2006/relationships/hyperlink" Target="https://www.worldbank.org/en/publication/industrial-policy-for-development" TargetMode="External"/><Relationship Id="rId56" Type="http://schemas.openxmlformats.org/officeDocument/2006/relationships/hyperlink" Target="https://www.unido.org/sites/default/files/files/2020-05/International_Guidelines_for_Industrial_Parks_EN.pdf" TargetMode="External"/><Relationship Id="rId77" Type="http://schemas.openxmlformats.org/officeDocument/2006/relationships/hyperlink" Target="https://www.bis.org/review/r230110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32</Pages>
  <Words>12572</Words>
  <Characters>71664</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Introduction to Commercial Economics</vt:lpstr>
    </vt:vector>
  </TitlesOfParts>
  <Manager/>
  <Company/>
  <LinksUpToDate>false</LinksUpToDate>
  <CharactersWithSpaces>84068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Commercial Economics</dc:title>
  <dc:subject>A proposed applied school of physical economic development</dc:subject>
  <dc:creator>Youth Technologies</dc:creator>
  <cp:keywords>Commercial Economics, Egypt, New Delta, development, industrial policy, physical economy, stewardship</cp:keywords>
  <dc:description>Public research paper, version 1.0, July 2026</dc:description>
  <cp:lastModifiedBy>Lenovo</cp:lastModifiedBy>
  <cp:revision>157</cp:revision>
  <dcterms:created xsi:type="dcterms:W3CDTF">2013-12-23T23:15:00Z</dcterms:created>
  <dcterms:modified xsi:type="dcterms:W3CDTF">2026-07-29T03:10:00Z</dcterms:modified>
  <cp:category>Research paper</cp:category>
</cp:coreProperties>
</file>